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2735" w14:textId="2CF9ACB2" w:rsidR="000E6B87" w:rsidRPr="00B45606" w:rsidRDefault="00A15824" w:rsidP="000B73B7">
      <w:pPr>
        <w:pStyle w:val="Heading1"/>
        <w:spacing w:line="240" w:lineRule="auto"/>
        <w:rPr>
          <w:sz w:val="40"/>
          <w:szCs w:val="44"/>
        </w:rPr>
      </w:pPr>
      <w:r w:rsidRPr="00B45606">
        <w:rPr>
          <w:sz w:val="40"/>
          <w:szCs w:val="44"/>
        </w:rPr>
        <w:t>Notes on Gender in Translation</w:t>
      </w:r>
    </w:p>
    <w:p w14:paraId="51F9C859" w14:textId="77777777" w:rsidR="00D23EF6" w:rsidRPr="00B45606" w:rsidRDefault="00D23EF6" w:rsidP="00D23EF6">
      <w:r w:rsidRPr="00B45606">
        <w:t>David E. S. Stein</w:t>
      </w:r>
    </w:p>
    <w:p w14:paraId="0162E955" w14:textId="2F75B6FD" w:rsidR="00D23EF6" w:rsidRPr="00B45606" w:rsidRDefault="00D23EF6" w:rsidP="00D23EF6">
      <w:pPr>
        <w:rPr>
          <w:i/>
          <w:iCs/>
          <w:sz w:val="21"/>
          <w:szCs w:val="18"/>
        </w:rPr>
      </w:pPr>
      <w:r w:rsidRPr="00B45606">
        <w:rPr>
          <w:i/>
          <w:iCs/>
          <w:sz w:val="21"/>
          <w:szCs w:val="18"/>
        </w:rPr>
        <w:t>RJPS Project Manager and Revising Translator</w:t>
      </w:r>
    </w:p>
    <w:p w14:paraId="1CE252AC" w14:textId="45CF01E4" w:rsidR="00AD1FC7" w:rsidRPr="00B45606" w:rsidRDefault="00AD1FC7" w:rsidP="0089416F">
      <w:pPr>
        <w:pStyle w:val="Standard1218justified"/>
      </w:pPr>
    </w:p>
    <w:p w14:paraId="318867BD" w14:textId="32BDDB17" w:rsidR="006E0BF1" w:rsidRPr="00B45606" w:rsidRDefault="00C87F3C" w:rsidP="006E0BF1">
      <w:pPr>
        <w:pStyle w:val="StandardFL"/>
      </w:pPr>
      <w:r w:rsidRPr="00B45606">
        <w:t xml:space="preserve">Readers of the Preface may well seek a more detailed understanding as to how and </w:t>
      </w:r>
      <w:r w:rsidR="007A0B02">
        <w:t>where</w:t>
      </w:r>
      <w:r w:rsidRPr="00B45606">
        <w:t xml:space="preserve"> RJPS differs from NJPS. Or they may want to learn more about what distinguishes RJPS </w:t>
      </w:r>
      <w:r w:rsidR="006E0BF1" w:rsidRPr="00B45606">
        <w:t xml:space="preserve">from </w:t>
      </w:r>
      <w:r w:rsidR="00A22213" w:rsidRPr="00B45606">
        <w:t>previously published</w:t>
      </w:r>
      <w:r w:rsidR="006E0BF1" w:rsidRPr="00B45606">
        <w:t xml:space="preserve"> gender-sensitive translations</w:t>
      </w:r>
      <w:r w:rsidR="00F91C82">
        <w:t>, such as CJPS or NRSV</w:t>
      </w:r>
      <w:r w:rsidR="006E0BF1" w:rsidRPr="00B45606">
        <w:t>.</w:t>
      </w:r>
      <w:r w:rsidRPr="00B45606">
        <w:t xml:space="preserve"> The following notes are </w:t>
      </w:r>
      <w:r w:rsidR="008C42A8" w:rsidRPr="00B45606">
        <w:t>intended</w:t>
      </w:r>
      <w:r w:rsidRPr="00B45606">
        <w:t xml:space="preserve"> to </w:t>
      </w:r>
      <w:r w:rsidR="008C42A8" w:rsidRPr="00B45606">
        <w:t xml:space="preserve">reward </w:t>
      </w:r>
      <w:r w:rsidRPr="00B45606">
        <w:t>such readers</w:t>
      </w:r>
      <w:r w:rsidR="008C42A8" w:rsidRPr="00B45606">
        <w:t xml:space="preserve"> for their curiosity</w:t>
      </w:r>
      <w:r w:rsidR="007A0B02">
        <w:t>, without requiring a background in</w:t>
      </w:r>
      <w:r w:rsidR="00591BAC">
        <w:t xml:space="preserve"> formal</w:t>
      </w:r>
      <w:r w:rsidR="007A0B02">
        <w:t xml:space="preserve"> translation studies or linguistics</w:t>
      </w:r>
      <w:r w:rsidRPr="00B45606">
        <w:t>.</w:t>
      </w:r>
      <w:r w:rsidR="00F40403">
        <w:t xml:space="preserve"> After discussing </w:t>
      </w:r>
      <w:r w:rsidR="001B3312">
        <w:t>four</w:t>
      </w:r>
      <w:r w:rsidR="00F40403">
        <w:t xml:space="preserve"> aspects of English that constrain translation into this language, </w:t>
      </w:r>
      <w:r w:rsidR="00072375">
        <w:t>these notes</w:t>
      </w:r>
      <w:r w:rsidR="00F91C82">
        <w:t xml:space="preserve"> will look at how this edition has handled the Hebrew text’s references to human beings</w:t>
      </w:r>
      <w:r w:rsidR="00297276">
        <w:t>,</w:t>
      </w:r>
      <w:r w:rsidR="00F91C82">
        <w:t xml:space="preserve"> and</w:t>
      </w:r>
      <w:r w:rsidR="00297276">
        <w:t xml:space="preserve"> then</w:t>
      </w:r>
      <w:r w:rsidR="00F91C82">
        <w:t xml:space="preserve"> to divine beings.</w:t>
      </w:r>
      <w:r w:rsidRPr="00B45606">
        <w:t xml:space="preserve"> (</w:t>
      </w:r>
      <w:r w:rsidR="007A0B02">
        <w:t>T</w:t>
      </w:r>
      <w:r w:rsidRPr="00B45606">
        <w:t>echnical argument</w:t>
      </w:r>
      <w:r w:rsidR="00072375">
        <w:t>s</w:t>
      </w:r>
      <w:r w:rsidR="00591BAC">
        <w:t>,</w:t>
      </w:r>
      <w:r w:rsidRPr="00B45606">
        <w:t xml:space="preserve"> </w:t>
      </w:r>
      <w:r w:rsidR="00591BAC">
        <w:t xml:space="preserve">extensive documentation, and discussion of the scholarly literature </w:t>
      </w:r>
      <w:r w:rsidR="00392180">
        <w:t>can be found in the sources cited in</w:t>
      </w:r>
      <w:r w:rsidRPr="00B45606">
        <w:t xml:space="preserve"> the final section</w:t>
      </w:r>
      <w:r w:rsidR="007A0B02">
        <w:t>,</w:t>
      </w:r>
      <w:r w:rsidRPr="00B45606">
        <w:t xml:space="preserve"> For Further Reading.)</w:t>
      </w:r>
    </w:p>
    <w:p w14:paraId="1022EC45" w14:textId="77777777" w:rsidR="006E0BF1" w:rsidRPr="00B45606" w:rsidRDefault="006E0BF1" w:rsidP="006E0BF1">
      <w:pPr>
        <w:pStyle w:val="Standard1218justified"/>
      </w:pPr>
    </w:p>
    <w:p w14:paraId="35DFF10B" w14:textId="4A5E4F19" w:rsidR="006C7DCF" w:rsidRDefault="00A77C63" w:rsidP="006C7DCF">
      <w:pPr>
        <w:pStyle w:val="Heading2"/>
      </w:pPr>
      <w:r>
        <w:t>ENGLISH CONSTRAINTS</w:t>
      </w:r>
    </w:p>
    <w:p w14:paraId="1CF97C15" w14:textId="79DE10A3" w:rsidR="000E33DC" w:rsidRPr="00B45606" w:rsidRDefault="00072375" w:rsidP="006C7DCF">
      <w:pPr>
        <w:pStyle w:val="Heading3"/>
        <w:spacing w:before="120"/>
      </w:pPr>
      <w:r>
        <w:t>Translating G</w:t>
      </w:r>
      <w:r w:rsidR="000E33DC" w:rsidRPr="00B45606">
        <w:t>ender</w:t>
      </w:r>
      <w:r>
        <w:t xml:space="preserve"> in Light of</w:t>
      </w:r>
      <w:r w:rsidR="000E33DC" w:rsidRPr="00B45606">
        <w:t xml:space="preserve"> English Idiom</w:t>
      </w:r>
    </w:p>
    <w:p w14:paraId="6BDD40BE" w14:textId="5FAF46DB" w:rsidR="000E33DC" w:rsidRDefault="003942C0" w:rsidP="000E33DC">
      <w:pPr>
        <w:pStyle w:val="StandardFL"/>
      </w:pPr>
      <w:r w:rsidRPr="00B45606">
        <w:t>T</w:t>
      </w:r>
      <w:r w:rsidR="000F2B70" w:rsidRPr="00B45606">
        <w:t>his edition</w:t>
      </w:r>
      <w:r w:rsidRPr="00B45606">
        <w:t xml:space="preserve"> </w:t>
      </w:r>
      <w:r w:rsidR="00CF22D7" w:rsidRPr="00B45606">
        <w:t>follows</w:t>
      </w:r>
      <w:r w:rsidR="000E33DC" w:rsidRPr="00B45606">
        <w:t xml:space="preserve"> </w:t>
      </w:r>
      <w:r w:rsidR="00297276">
        <w:t xml:space="preserve">the </w:t>
      </w:r>
      <w:r w:rsidR="000E33DC" w:rsidRPr="00B45606">
        <w:t>contemporary</w:t>
      </w:r>
      <w:r w:rsidR="00CF22D7" w:rsidRPr="00B45606">
        <w:t xml:space="preserve"> English</w:t>
      </w:r>
      <w:r w:rsidR="007C5982">
        <w:t>-language</w:t>
      </w:r>
      <w:r w:rsidR="000E33DC" w:rsidRPr="00B45606">
        <w:t xml:space="preserve"> </w:t>
      </w:r>
      <w:r w:rsidRPr="00B45606">
        <w:t>norm</w:t>
      </w:r>
      <w:r w:rsidR="000E33DC" w:rsidRPr="00B45606">
        <w:t xml:space="preserve"> for how and when</w:t>
      </w:r>
      <w:r w:rsidR="007C5982">
        <w:t xml:space="preserve"> </w:t>
      </w:r>
      <w:r w:rsidR="000E33DC" w:rsidRPr="00B45606">
        <w:t xml:space="preserve">gender </w:t>
      </w:r>
      <w:r w:rsidR="00072375">
        <w:t xml:space="preserve">should be mentioned </w:t>
      </w:r>
      <w:r w:rsidR="000E33DC">
        <w:t xml:space="preserve">while making reference to someone. </w:t>
      </w:r>
      <w:proofErr w:type="gramStart"/>
      <w:r w:rsidR="000E33DC">
        <w:t>Generally</w:t>
      </w:r>
      <w:proofErr w:type="gramEnd"/>
      <w:r w:rsidR="000E33DC">
        <w:t xml:space="preserve"> in English, the expectation</w:t>
      </w:r>
      <w:r w:rsidR="00CF22D7">
        <w:t xml:space="preserve"> for a speaker</w:t>
      </w:r>
      <w:r w:rsidR="000E33DC">
        <w:t xml:space="preserve"> is as follows</w:t>
      </w:r>
      <w:r w:rsidR="008077E5">
        <w:t xml:space="preserve">: </w:t>
      </w:r>
    </w:p>
    <w:p w14:paraId="2209ABBE" w14:textId="77777777" w:rsidR="000E33DC" w:rsidRDefault="000E33DC" w:rsidP="000E33DC">
      <w:pPr>
        <w:pStyle w:val="Standard1218justified"/>
      </w:pPr>
      <w:r>
        <w:t>• If gender is germane in context, then say so; if not, then do not mention it.</w:t>
      </w:r>
      <w:bookmarkStart w:id="0" w:name="_Ref104974047"/>
      <w:r>
        <w:rPr>
          <w:rStyle w:val="FootnoteReference"/>
        </w:rPr>
        <w:footnoteReference w:id="1"/>
      </w:r>
      <w:bookmarkEnd w:id="0"/>
    </w:p>
    <w:p w14:paraId="680E4F18" w14:textId="342A16B6" w:rsidR="000E33DC" w:rsidRPr="00B45606" w:rsidRDefault="000E33DC" w:rsidP="000E33DC">
      <w:pPr>
        <w:pStyle w:val="Standard1218justified"/>
      </w:pPr>
      <w:r>
        <w:t>• If gender is already known or inferable, do not mention it.</w:t>
      </w:r>
    </w:p>
    <w:p w14:paraId="07FD38F8" w14:textId="69309E0A" w:rsidR="000E33DC" w:rsidRDefault="000E33DC" w:rsidP="000E33DC">
      <w:pPr>
        <w:pStyle w:val="StandardFL"/>
      </w:pPr>
      <w:r w:rsidRPr="00B45606">
        <w:rPr>
          <w:rFonts w:asciiTheme="majorBidi" w:hAnsiTheme="majorBidi" w:cstheme="majorBidi"/>
          <w:color w:val="000000"/>
        </w:rPr>
        <w:t>This</w:t>
      </w:r>
      <w:r w:rsidR="00297276">
        <w:rPr>
          <w:rFonts w:asciiTheme="majorBidi" w:hAnsiTheme="majorBidi" w:cstheme="majorBidi"/>
          <w:color w:val="000000"/>
        </w:rPr>
        <w:t xml:space="preserve"> norm is a feature of the language itself (independent of a speaker’s gender politics).</w:t>
      </w:r>
      <w:r w:rsidRPr="00B45606">
        <w:rPr>
          <w:rFonts w:asciiTheme="majorBidi" w:hAnsiTheme="majorBidi" w:cstheme="majorBidi"/>
          <w:color w:val="000000"/>
        </w:rPr>
        <w:t xml:space="preserve"> </w:t>
      </w:r>
      <w:r w:rsidR="00297276">
        <w:rPr>
          <w:rFonts w:asciiTheme="majorBidi" w:hAnsiTheme="majorBidi" w:cstheme="majorBidi"/>
          <w:color w:val="000000"/>
        </w:rPr>
        <w:t xml:space="preserve">It </w:t>
      </w:r>
      <w:r w:rsidRPr="00B45606">
        <w:rPr>
          <w:rFonts w:asciiTheme="majorBidi" w:hAnsiTheme="majorBidi" w:cstheme="majorBidi"/>
          <w:color w:val="000000"/>
        </w:rPr>
        <w:t xml:space="preserve">is </w:t>
      </w:r>
      <w:r w:rsidRPr="00B45606">
        <w:t>a</w:t>
      </w:r>
      <w:r>
        <w:t xml:space="preserve"> straightforward application of a </w:t>
      </w:r>
      <w:r w:rsidR="00145CE0">
        <w:t>commonplace</w:t>
      </w:r>
      <w:r>
        <w:t xml:space="preserve"> </w:t>
      </w:r>
      <w:r w:rsidR="00EA1C23">
        <w:t>in</w:t>
      </w:r>
      <w:r>
        <w:t xml:space="preserve"> communication, namely, that speakers </w:t>
      </w:r>
      <w:r w:rsidR="00072375">
        <w:t xml:space="preserve">do </w:t>
      </w:r>
      <w:r>
        <w:t>not waste effort on articulating whatever does not matter or can otherwise go without saying.</w:t>
      </w:r>
      <w:r w:rsidR="00945CDB" w:rsidRPr="00B45606">
        <w:rPr>
          <w:rStyle w:val="FootnoteReference"/>
        </w:rPr>
        <w:footnoteReference w:id="2"/>
      </w:r>
      <w:r w:rsidRPr="00B45606">
        <w:t xml:space="preserve"> </w:t>
      </w:r>
    </w:p>
    <w:p w14:paraId="118F29A4" w14:textId="26A1119C" w:rsidR="00FA50F6" w:rsidRDefault="004036FC" w:rsidP="00FA50F6">
      <w:pPr>
        <w:pStyle w:val="Standard1218justified"/>
        <w:rPr>
          <w:szCs w:val="28"/>
        </w:rPr>
      </w:pPr>
      <w:r>
        <w:lastRenderedPageBreak/>
        <w:t>A</w:t>
      </w:r>
      <w:r w:rsidR="0006579C">
        <w:t>bid</w:t>
      </w:r>
      <w:r>
        <w:t>ing</w:t>
      </w:r>
      <w:r w:rsidR="0006579C">
        <w:t xml:space="preserve"> by</w:t>
      </w:r>
      <w:r>
        <w:t xml:space="preserve"> </w:t>
      </w:r>
      <w:r w:rsidR="0006579C">
        <w:t>this</w:t>
      </w:r>
      <w:r>
        <w:t xml:space="preserve"> norm</w:t>
      </w:r>
      <w:r w:rsidR="000E33DC">
        <w:t xml:space="preserve"> </w:t>
      </w:r>
      <w:r w:rsidR="00EA1C23">
        <w:t>can be</w:t>
      </w:r>
      <w:r w:rsidR="000E33DC">
        <w:t xml:space="preserve"> tricky when translating across cultures, in contexts where gender is germane for one audience but not for </w:t>
      </w:r>
      <w:r w:rsidR="008077E5">
        <w:t>an</w:t>
      </w:r>
      <w:r w:rsidR="000E33DC">
        <w:t>other.</w:t>
      </w:r>
      <w:r>
        <w:t xml:space="preserve"> </w:t>
      </w:r>
      <w:r w:rsidR="00441C57">
        <w:t>What was normal</w:t>
      </w:r>
      <w:r w:rsidR="00822F64">
        <w:t xml:space="preserve"> parlance</w:t>
      </w:r>
      <w:r w:rsidR="00441C57">
        <w:t xml:space="preserve"> in the ancient Near East may differ from what is normal in today’s Western world.</w:t>
      </w:r>
      <w:r w:rsidR="000E33DC">
        <w:t xml:space="preserve"> </w:t>
      </w:r>
      <w:r w:rsidR="00695469">
        <w:rPr>
          <w:szCs w:val="28"/>
        </w:rPr>
        <w:t>A key factor</w:t>
      </w:r>
      <w:r w:rsidR="000E33DC">
        <w:rPr>
          <w:szCs w:val="28"/>
        </w:rPr>
        <w:t xml:space="preserve"> is what the present audience </w:t>
      </w:r>
      <w:r w:rsidR="006E065C">
        <w:rPr>
          <w:szCs w:val="28"/>
        </w:rPr>
        <w:t>believes</w:t>
      </w:r>
      <w:r w:rsidR="000E33DC">
        <w:rPr>
          <w:szCs w:val="28"/>
        </w:rPr>
        <w:t xml:space="preserve"> </w:t>
      </w:r>
      <w:r w:rsidR="002608F3">
        <w:rPr>
          <w:szCs w:val="28"/>
        </w:rPr>
        <w:t xml:space="preserve">to have </w:t>
      </w:r>
      <w:r w:rsidR="006941D9">
        <w:rPr>
          <w:szCs w:val="28"/>
        </w:rPr>
        <w:t>gone without saying</w:t>
      </w:r>
      <w:r w:rsidR="000E33DC">
        <w:rPr>
          <w:szCs w:val="28"/>
        </w:rPr>
        <w:t>.</w:t>
      </w:r>
      <w:r w:rsidR="00B054FF">
        <w:rPr>
          <w:szCs w:val="28"/>
        </w:rPr>
        <w:t xml:space="preserve"> </w:t>
      </w:r>
      <w:r w:rsidR="008E3CA0">
        <w:rPr>
          <w:szCs w:val="28"/>
        </w:rPr>
        <w:t xml:space="preserve">For example, </w:t>
      </w:r>
      <w:r w:rsidR="00C45729">
        <w:rPr>
          <w:szCs w:val="28"/>
        </w:rPr>
        <w:t xml:space="preserve">English </w:t>
      </w:r>
      <w:r w:rsidR="008E3CA0">
        <w:rPr>
          <w:szCs w:val="28"/>
        </w:rPr>
        <w:t>t</w:t>
      </w:r>
      <w:r w:rsidR="000E33DC">
        <w:rPr>
          <w:szCs w:val="28"/>
        </w:rPr>
        <w:t xml:space="preserve">ranslators </w:t>
      </w:r>
      <w:r w:rsidR="00C27399">
        <w:rPr>
          <w:szCs w:val="28"/>
        </w:rPr>
        <w:t xml:space="preserve">universally </w:t>
      </w:r>
      <w:r w:rsidR="000E33DC" w:rsidRPr="00A623AA">
        <w:rPr>
          <w:szCs w:val="28"/>
        </w:rPr>
        <w:t>assume that</w:t>
      </w:r>
      <w:r w:rsidR="00C27399">
        <w:rPr>
          <w:szCs w:val="28"/>
        </w:rPr>
        <w:t xml:space="preserve"> when</w:t>
      </w:r>
      <w:r w:rsidR="000E33DC" w:rsidRPr="00A623AA">
        <w:rPr>
          <w:szCs w:val="28"/>
        </w:rPr>
        <w:t xml:space="preserve"> </w:t>
      </w:r>
      <w:r w:rsidR="00EA1C23">
        <w:rPr>
          <w:szCs w:val="28"/>
        </w:rPr>
        <w:t>the</w:t>
      </w:r>
      <w:r w:rsidR="00252FCD">
        <w:rPr>
          <w:szCs w:val="28"/>
        </w:rPr>
        <w:t>y</w:t>
      </w:r>
      <w:r w:rsidR="00EA1C23">
        <w:rPr>
          <w:szCs w:val="28"/>
        </w:rPr>
        <w:t xml:space="preserve"> label </w:t>
      </w:r>
      <w:r w:rsidR="00C27399">
        <w:rPr>
          <w:szCs w:val="28"/>
        </w:rPr>
        <w:t>a</w:t>
      </w:r>
      <w:r w:rsidR="008E3CA0">
        <w:rPr>
          <w:szCs w:val="28"/>
        </w:rPr>
        <w:t xml:space="preserve"> given</w:t>
      </w:r>
      <w:r w:rsidR="00EA1C23">
        <w:rPr>
          <w:szCs w:val="28"/>
        </w:rPr>
        <w:t xml:space="preserve"> Israelite</w:t>
      </w:r>
      <w:r w:rsidR="00C27399">
        <w:rPr>
          <w:szCs w:val="28"/>
        </w:rPr>
        <w:t xml:space="preserve"> as a </w:t>
      </w:r>
      <w:r w:rsidR="000E2D74">
        <w:rPr>
          <w:szCs w:val="28"/>
        </w:rPr>
        <w:t>“</w:t>
      </w:r>
      <w:r w:rsidR="00C27399">
        <w:rPr>
          <w:szCs w:val="28"/>
        </w:rPr>
        <w:t>soldier</w:t>
      </w:r>
      <w:r w:rsidR="000E2D74">
        <w:rPr>
          <w:szCs w:val="28"/>
        </w:rPr>
        <w:t>”</w:t>
      </w:r>
      <w:r w:rsidR="00C27399">
        <w:rPr>
          <w:szCs w:val="28"/>
        </w:rPr>
        <w:t xml:space="preserve"> or a </w:t>
      </w:r>
      <w:r w:rsidR="000E2D74">
        <w:rPr>
          <w:szCs w:val="28"/>
        </w:rPr>
        <w:t>“</w:t>
      </w:r>
      <w:r w:rsidR="00C27399">
        <w:rPr>
          <w:szCs w:val="28"/>
        </w:rPr>
        <w:t>priest</w:t>
      </w:r>
      <w:r w:rsidR="000E2D74">
        <w:rPr>
          <w:szCs w:val="28"/>
        </w:rPr>
        <w:t>,”</w:t>
      </w:r>
      <w:r w:rsidR="00C27399">
        <w:rPr>
          <w:szCs w:val="28"/>
        </w:rPr>
        <w:t xml:space="preserve"> </w:t>
      </w:r>
      <w:r w:rsidR="006941D9">
        <w:rPr>
          <w:szCs w:val="28"/>
        </w:rPr>
        <w:t>readers</w:t>
      </w:r>
      <w:r w:rsidR="00EA1C23">
        <w:rPr>
          <w:szCs w:val="28"/>
        </w:rPr>
        <w:t xml:space="preserve"> </w:t>
      </w:r>
      <w:r w:rsidR="00252FCD">
        <w:rPr>
          <w:szCs w:val="28"/>
        </w:rPr>
        <w:t>will infer</w:t>
      </w:r>
      <w:r w:rsidR="00EA1C23">
        <w:rPr>
          <w:szCs w:val="28"/>
        </w:rPr>
        <w:t xml:space="preserve"> that only a man is in view (because</w:t>
      </w:r>
      <w:r w:rsidR="006941D9">
        <w:rPr>
          <w:szCs w:val="28"/>
        </w:rPr>
        <w:t xml:space="preserve"> </w:t>
      </w:r>
      <w:r w:rsidR="00252FCD">
        <w:rPr>
          <w:szCs w:val="28"/>
        </w:rPr>
        <w:t>everyone knows</w:t>
      </w:r>
      <w:r w:rsidR="006941D9">
        <w:rPr>
          <w:szCs w:val="28"/>
        </w:rPr>
        <w:t xml:space="preserve"> that</w:t>
      </w:r>
      <w:r w:rsidR="00EA1C23">
        <w:rPr>
          <w:szCs w:val="28"/>
        </w:rPr>
        <w:t xml:space="preserve"> warfare and the priesthood were male-only endeavors</w:t>
      </w:r>
      <w:r w:rsidR="0055576D">
        <w:rPr>
          <w:szCs w:val="28"/>
        </w:rPr>
        <w:t>, which usually went without saying in the ancient text</w:t>
      </w:r>
      <w:r w:rsidR="00EA1C23">
        <w:rPr>
          <w:szCs w:val="28"/>
        </w:rPr>
        <w:t xml:space="preserve">). Hence </w:t>
      </w:r>
      <w:r w:rsidR="00C27399">
        <w:rPr>
          <w:szCs w:val="28"/>
        </w:rPr>
        <w:t>th</w:t>
      </w:r>
      <w:r w:rsidR="00EA1C23">
        <w:rPr>
          <w:szCs w:val="28"/>
        </w:rPr>
        <w:t>at</w:t>
      </w:r>
      <w:r w:rsidR="000E33DC" w:rsidRPr="00A623AA">
        <w:rPr>
          <w:szCs w:val="28"/>
        </w:rPr>
        <w:t xml:space="preserve"> gender profile can go without saying</w:t>
      </w:r>
      <w:r w:rsidR="0055576D">
        <w:rPr>
          <w:szCs w:val="28"/>
        </w:rPr>
        <w:t xml:space="preserve"> in the</w:t>
      </w:r>
      <w:r w:rsidR="000E33DC" w:rsidRPr="00A623AA">
        <w:rPr>
          <w:szCs w:val="28"/>
        </w:rPr>
        <w:t xml:space="preserve"> translation</w:t>
      </w:r>
      <w:r w:rsidR="0055576D">
        <w:rPr>
          <w:szCs w:val="28"/>
        </w:rPr>
        <w:t>; it</w:t>
      </w:r>
      <w:r w:rsidR="000E33DC" w:rsidRPr="00A623AA">
        <w:rPr>
          <w:szCs w:val="28"/>
        </w:rPr>
        <w:t xml:space="preserve"> need </w:t>
      </w:r>
      <w:r w:rsidR="000E33DC">
        <w:rPr>
          <w:szCs w:val="28"/>
        </w:rPr>
        <w:t>not</w:t>
      </w:r>
      <w:r w:rsidR="000E33DC" w:rsidRPr="00A623AA">
        <w:rPr>
          <w:szCs w:val="28"/>
        </w:rPr>
        <w:t xml:space="preserve"> specify </w:t>
      </w:r>
      <w:r w:rsidR="000E2D74">
        <w:rPr>
          <w:szCs w:val="28"/>
        </w:rPr>
        <w:t>“</w:t>
      </w:r>
      <w:r w:rsidR="000E33DC" w:rsidRPr="00A623AA">
        <w:rPr>
          <w:szCs w:val="28"/>
        </w:rPr>
        <w:t>male soldier</w:t>
      </w:r>
      <w:r w:rsidR="000E2D74">
        <w:rPr>
          <w:szCs w:val="28"/>
        </w:rPr>
        <w:t>”</w:t>
      </w:r>
      <w:r w:rsidR="000E33DC" w:rsidRPr="00A623AA">
        <w:rPr>
          <w:szCs w:val="28"/>
        </w:rPr>
        <w:t xml:space="preserve"> or </w:t>
      </w:r>
      <w:r w:rsidR="000E2D74">
        <w:rPr>
          <w:szCs w:val="28"/>
        </w:rPr>
        <w:t>“</w:t>
      </w:r>
      <w:r w:rsidR="000E33DC" w:rsidRPr="00A623AA">
        <w:rPr>
          <w:szCs w:val="28"/>
        </w:rPr>
        <w:t>male priest</w:t>
      </w:r>
      <w:r w:rsidR="000E2D74">
        <w:rPr>
          <w:szCs w:val="28"/>
        </w:rPr>
        <w:t>.”</w:t>
      </w:r>
      <w:r w:rsidR="000E33DC" w:rsidRPr="00A623AA">
        <w:rPr>
          <w:szCs w:val="28"/>
        </w:rPr>
        <w:t xml:space="preserve"> </w:t>
      </w:r>
      <w:r w:rsidR="00FA50F6">
        <w:rPr>
          <w:szCs w:val="28"/>
        </w:rPr>
        <w:t xml:space="preserve">Yet in </w:t>
      </w:r>
      <w:r w:rsidR="006941D9">
        <w:rPr>
          <w:szCs w:val="28"/>
        </w:rPr>
        <w:t>other</w:t>
      </w:r>
      <w:r w:rsidR="00FA50F6">
        <w:rPr>
          <w:szCs w:val="28"/>
        </w:rPr>
        <w:t xml:space="preserve"> </w:t>
      </w:r>
      <w:r w:rsidR="006941D9">
        <w:rPr>
          <w:szCs w:val="28"/>
        </w:rPr>
        <w:t>cases,</w:t>
      </w:r>
      <w:r w:rsidR="00FA50F6">
        <w:rPr>
          <w:szCs w:val="28"/>
        </w:rPr>
        <w:t xml:space="preserve"> an</w:t>
      </w:r>
      <w:r w:rsidR="0055576D">
        <w:rPr>
          <w:szCs w:val="28"/>
        </w:rPr>
        <w:t xml:space="preserve"> equally</w:t>
      </w:r>
      <w:r w:rsidR="00FA50F6">
        <w:rPr>
          <w:szCs w:val="28"/>
        </w:rPr>
        <w:t xml:space="preserve"> implicit gender restriction warrants </w:t>
      </w:r>
      <w:r w:rsidR="006941D9">
        <w:rPr>
          <w:szCs w:val="28"/>
        </w:rPr>
        <w:t>being stated</w:t>
      </w:r>
      <w:r w:rsidR="0055576D">
        <w:rPr>
          <w:szCs w:val="28"/>
        </w:rPr>
        <w:t xml:space="preserve"> outright</w:t>
      </w:r>
      <w:r w:rsidR="00FA50F6">
        <w:rPr>
          <w:szCs w:val="28"/>
        </w:rPr>
        <w:t xml:space="preserve"> in the translation. For example, </w:t>
      </w:r>
      <w:r w:rsidR="00731219">
        <w:rPr>
          <w:szCs w:val="28"/>
        </w:rPr>
        <w:t xml:space="preserve">in the </w:t>
      </w:r>
      <w:r w:rsidR="00FA50F6" w:rsidRPr="00FA50F6">
        <w:rPr>
          <w:szCs w:val="28"/>
        </w:rPr>
        <w:t>Gen</w:t>
      </w:r>
      <w:r w:rsidR="00731219">
        <w:rPr>
          <w:szCs w:val="28"/>
        </w:rPr>
        <w:t>esis account of how an alarmed Jacob deals with a perceived threat to his household</w:t>
      </w:r>
      <w:r w:rsidR="00A1187F">
        <w:rPr>
          <w:szCs w:val="28"/>
        </w:rPr>
        <w:t xml:space="preserve">, </w:t>
      </w:r>
      <w:r w:rsidR="00FA50F6">
        <w:rPr>
          <w:szCs w:val="28"/>
        </w:rPr>
        <w:t>NJPS</w:t>
      </w:r>
      <w:r w:rsidR="00731219">
        <w:rPr>
          <w:szCs w:val="28"/>
        </w:rPr>
        <w:t xml:space="preserve"> reads</w:t>
      </w:r>
      <w:r w:rsidR="00FA50F6" w:rsidRPr="00FA50F6">
        <w:rPr>
          <w:szCs w:val="28"/>
        </w:rPr>
        <w:t>:</w:t>
      </w:r>
    </w:p>
    <w:p w14:paraId="11FB04D2" w14:textId="38124610" w:rsidR="00FA50F6" w:rsidRDefault="00FA50F6" w:rsidP="00731219">
      <w:pPr>
        <w:pStyle w:val="Standard1218justified"/>
        <w:spacing w:before="120" w:after="120"/>
        <w:ind w:firstLine="0"/>
        <w:jc w:val="center"/>
        <w:rPr>
          <w:szCs w:val="28"/>
        </w:rPr>
      </w:pPr>
      <w:r w:rsidRPr="008B185B">
        <w:rPr>
          <w:sz w:val="22"/>
        </w:rPr>
        <w:t>…taking … his eleven children,</w:t>
      </w:r>
      <w:r w:rsidR="008B185B" w:rsidRPr="00AA04C7">
        <w:rPr>
          <w:rStyle w:val="FootnoteReference"/>
          <w:szCs w:val="20"/>
        </w:rPr>
        <w:footnoteReference w:id="3"/>
      </w:r>
      <w:r w:rsidRPr="008B185B">
        <w:rPr>
          <w:sz w:val="22"/>
        </w:rPr>
        <w:t xml:space="preserve"> he crossed the ford…</w:t>
      </w:r>
      <w:r w:rsidR="00731219">
        <w:rPr>
          <w:sz w:val="22"/>
        </w:rPr>
        <w:t xml:space="preserve">  (</w:t>
      </w:r>
      <w:r w:rsidR="00731219" w:rsidRPr="00FA50F6">
        <w:rPr>
          <w:szCs w:val="28"/>
        </w:rPr>
        <w:t>32.23</w:t>
      </w:r>
      <w:r w:rsidR="00731219">
        <w:rPr>
          <w:sz w:val="22"/>
        </w:rPr>
        <w:t>)</w:t>
      </w:r>
    </w:p>
    <w:p w14:paraId="7C17E46B" w14:textId="77777777" w:rsidR="00710A60" w:rsidRDefault="003A6B71" w:rsidP="00AF1E40">
      <w:pPr>
        <w:pStyle w:val="StandardFL"/>
      </w:pPr>
      <w:r>
        <w:t xml:space="preserve">At this point in the narrative, Jacob </w:t>
      </w:r>
      <w:r w:rsidR="00A1187F">
        <w:t xml:space="preserve">actually </w:t>
      </w:r>
      <w:r>
        <w:t>has</w:t>
      </w:r>
      <w:r w:rsidR="00A1187F">
        <w:t xml:space="preserve"> twelve children:</w:t>
      </w:r>
      <w:r>
        <w:t xml:space="preserve"> eleven sons plus a daughter, Dinah.</w:t>
      </w:r>
      <w:r w:rsidR="00DE0F46">
        <w:t xml:space="preserve"> </w:t>
      </w:r>
      <w:r w:rsidR="00C900DE">
        <w:t>Her apparent eclipse at this juncture can be explained by a fact of communication:</w:t>
      </w:r>
      <w:r w:rsidR="00DE0F46">
        <w:t xml:space="preserve"> </w:t>
      </w:r>
      <w:r w:rsidR="00542185">
        <w:t>when</w:t>
      </w:r>
      <w:r w:rsidR="004D050A">
        <w:t>ever</w:t>
      </w:r>
      <w:r w:rsidR="00542185">
        <w:t xml:space="preserve"> a speaker makes a reference</w:t>
      </w:r>
      <w:r w:rsidR="004D050A">
        <w:t xml:space="preserve"> to a definite party</w:t>
      </w:r>
      <w:r w:rsidR="00542185">
        <w:t xml:space="preserve">, </w:t>
      </w:r>
      <w:r w:rsidR="00C900DE">
        <w:t xml:space="preserve">an </w:t>
      </w:r>
      <w:r w:rsidR="00DE0F46">
        <w:t xml:space="preserve">audience must </w:t>
      </w:r>
      <w:r w:rsidR="00542185">
        <w:t>infer</w:t>
      </w:r>
      <w:r w:rsidR="00DE0F46">
        <w:t xml:space="preserve"> </w:t>
      </w:r>
      <w:r w:rsidR="00542185">
        <w:t>who it is that</w:t>
      </w:r>
      <w:r w:rsidR="00DE0F46">
        <w:t xml:space="preserve"> the speaker </w:t>
      </w:r>
      <w:r w:rsidR="00542185">
        <w:t>has in mind</w:t>
      </w:r>
      <w:r w:rsidR="00DE0F46">
        <w:t xml:space="preserve">, and </w:t>
      </w:r>
      <w:r w:rsidR="00542185">
        <w:t>they always</w:t>
      </w:r>
      <w:r w:rsidR="00DE0F46">
        <w:t xml:space="preserve"> </w:t>
      </w:r>
      <w:r w:rsidR="004D050A">
        <w:t>make</w:t>
      </w:r>
      <w:r w:rsidR="00DE0F46">
        <w:t xml:space="preserve"> that </w:t>
      </w:r>
      <w:r w:rsidR="004D050A">
        <w:t>inference</w:t>
      </w:r>
      <w:r w:rsidR="00DE0F46">
        <w:t xml:space="preserve"> </w:t>
      </w:r>
      <w:r w:rsidR="00542185">
        <w:t>on the basis</w:t>
      </w:r>
      <w:r w:rsidR="00DE0F46">
        <w:t xml:space="preserve"> of perceived salience. </w:t>
      </w:r>
      <w:r w:rsidR="00C900DE">
        <w:t>I</w:t>
      </w:r>
      <w:r w:rsidR="00233B02">
        <w:t xml:space="preserve">t </w:t>
      </w:r>
      <w:r w:rsidR="00DE0F46">
        <w:t>could</w:t>
      </w:r>
      <w:r w:rsidR="00C900DE">
        <w:t xml:space="preserve"> therefore</w:t>
      </w:r>
      <w:r w:rsidR="00DE0F46">
        <w:t xml:space="preserve"> go </w:t>
      </w:r>
      <w:r w:rsidR="00233B02">
        <w:t xml:space="preserve">without saying that </w:t>
      </w:r>
      <w:r w:rsidR="00FC312F">
        <w:t xml:space="preserve">Jacob’s </w:t>
      </w:r>
      <w:r w:rsidR="000E2D74">
        <w:t>“</w:t>
      </w:r>
      <w:r w:rsidR="008B185B">
        <w:t>children</w:t>
      </w:r>
      <w:r w:rsidR="000E2D74">
        <w:t>”</w:t>
      </w:r>
      <w:r w:rsidR="00233B02">
        <w:t xml:space="preserve"> of interest</w:t>
      </w:r>
      <w:r w:rsidR="00731219">
        <w:t xml:space="preserve">—the ones whose survival </w:t>
      </w:r>
      <w:r w:rsidR="00252FCD">
        <w:t>truly</w:t>
      </w:r>
      <w:r w:rsidR="00731219">
        <w:t xml:space="preserve"> mattered</w:t>
      </w:r>
      <w:r w:rsidR="00252FCD">
        <w:t xml:space="preserve"> to the ancient audience</w:t>
      </w:r>
      <w:r w:rsidR="00731219">
        <w:t>—</w:t>
      </w:r>
      <w:r w:rsidR="00BC5EEF">
        <w:t>were</w:t>
      </w:r>
      <w:r w:rsidR="00DE0F46">
        <w:t xml:space="preserve"> specifically</w:t>
      </w:r>
      <w:r w:rsidR="00FA4ED0">
        <w:t xml:space="preserve"> </w:t>
      </w:r>
      <w:r w:rsidR="00FC312F">
        <w:t>his</w:t>
      </w:r>
      <w:r w:rsidR="00FC312F" w:rsidRPr="00B45606">
        <w:t xml:space="preserve"> </w:t>
      </w:r>
      <w:r w:rsidR="00FA4ED0" w:rsidRPr="00B45606">
        <w:t>s</w:t>
      </w:r>
      <w:r w:rsidR="00FA4ED0">
        <w:t>ons</w:t>
      </w:r>
      <w:r w:rsidR="00731219">
        <w:t>, for</w:t>
      </w:r>
      <w:r w:rsidR="00252FCD">
        <w:t xml:space="preserve"> </w:t>
      </w:r>
      <w:r w:rsidR="003F5AF3">
        <w:t xml:space="preserve">this story foreshadows the tribal nature of the Israelite nation. </w:t>
      </w:r>
      <w:r w:rsidR="00710A60">
        <w:t>A</w:t>
      </w:r>
      <w:r w:rsidR="00DE0F46">
        <w:t xml:space="preserve"> key part of </w:t>
      </w:r>
      <w:r w:rsidR="00446E42">
        <w:t xml:space="preserve">the ancient audience’s </w:t>
      </w:r>
      <w:r w:rsidR="00DE0F46">
        <w:t>identity was their</w:t>
      </w:r>
      <w:r w:rsidR="00FA4ED0">
        <w:t xml:space="preserve"> </w:t>
      </w:r>
      <w:r w:rsidR="00E64D5C">
        <w:t xml:space="preserve">own </w:t>
      </w:r>
      <w:r w:rsidR="00FA4ED0">
        <w:t>t</w:t>
      </w:r>
      <w:r w:rsidR="00E579ED">
        <w:t>rib</w:t>
      </w:r>
      <w:r w:rsidR="00DE0F46">
        <w:t>al affiliation</w:t>
      </w:r>
      <w:r w:rsidR="0061169B">
        <w:t xml:space="preserve">, </w:t>
      </w:r>
      <w:r w:rsidR="00710A60">
        <w:t xml:space="preserve">whereas we in </w:t>
      </w:r>
      <w:r w:rsidR="0061169B">
        <w:t>today</w:t>
      </w:r>
      <w:r w:rsidR="0061169B" w:rsidRPr="00B45606">
        <w:t>’s a</w:t>
      </w:r>
      <w:r w:rsidR="0061169B">
        <w:t>udience</w:t>
      </w:r>
      <w:r w:rsidR="00C02112">
        <w:t xml:space="preserve"> lack </w:t>
      </w:r>
      <w:r w:rsidR="00710A60">
        <w:t>that</w:t>
      </w:r>
      <w:r w:rsidR="00446E42">
        <w:t xml:space="preserve"> tie. By comparison,</w:t>
      </w:r>
      <w:r w:rsidR="00C02112">
        <w:t xml:space="preserve"> </w:t>
      </w:r>
      <w:r w:rsidR="00DE0F46">
        <w:t>we</w:t>
      </w:r>
      <w:r w:rsidR="0061169B">
        <w:t xml:space="preserve"> focus</w:t>
      </w:r>
      <w:r w:rsidR="00E579ED">
        <w:t xml:space="preserve"> more</w:t>
      </w:r>
      <w:r w:rsidR="0061169B">
        <w:t xml:space="preserve"> on the </w:t>
      </w:r>
      <w:r w:rsidR="00E579ED">
        <w:t>characters</w:t>
      </w:r>
      <w:r w:rsidR="0061169B">
        <w:t xml:space="preserve"> in the story</w:t>
      </w:r>
      <w:r w:rsidR="008B185B">
        <w:t>—</w:t>
      </w:r>
      <w:r w:rsidR="00C02112">
        <w:t>and on that basis</w:t>
      </w:r>
      <w:r w:rsidR="0061169B">
        <w:t xml:space="preserve">, </w:t>
      </w:r>
      <w:r w:rsidR="00710A60">
        <w:t xml:space="preserve">we infer that </w:t>
      </w:r>
      <w:r w:rsidR="00FA4ED0">
        <w:t>Dinah</w:t>
      </w:r>
      <w:r>
        <w:t xml:space="preserve"> </w:t>
      </w:r>
      <w:r w:rsidR="00FA4ED0">
        <w:t>is</w:t>
      </w:r>
      <w:r w:rsidR="0061169B">
        <w:t xml:space="preserve"> </w:t>
      </w:r>
      <w:r w:rsidR="00FA4ED0">
        <w:t xml:space="preserve">also </w:t>
      </w:r>
      <w:r w:rsidR="0061169B">
        <w:t>in view.</w:t>
      </w:r>
      <w:r>
        <w:t xml:space="preserve"> </w:t>
      </w:r>
    </w:p>
    <w:p w14:paraId="2F66820B" w14:textId="19D4B3E6" w:rsidR="00C253DC" w:rsidRDefault="00710A60" w:rsidP="00710A60">
      <w:pPr>
        <w:pStyle w:val="Standard1218justified"/>
      </w:pPr>
      <w:r>
        <w:t>I</w:t>
      </w:r>
      <w:r w:rsidR="001D53B9">
        <w:t>n this verse</w:t>
      </w:r>
      <w:r w:rsidR="00FA4ED0">
        <w:t>, s</w:t>
      </w:r>
      <w:r w:rsidR="00E579ED">
        <w:t>ynchronizing</w:t>
      </w:r>
      <w:r w:rsidR="00FC312F">
        <w:t xml:space="preserve"> our perception</w:t>
      </w:r>
      <w:r w:rsidR="00E579ED">
        <w:t xml:space="preserve"> with</w:t>
      </w:r>
      <w:r w:rsidR="00FC312F">
        <w:t xml:space="preserve"> that of</w:t>
      </w:r>
      <w:r w:rsidR="00E579ED">
        <w:t xml:space="preserve"> the ancient audience means re</w:t>
      </w:r>
      <w:r w:rsidR="00FA4ED0">
        <w:t>aliz</w:t>
      </w:r>
      <w:r w:rsidR="00E579ED">
        <w:t>ing that</w:t>
      </w:r>
      <w:r w:rsidR="001F2C5B">
        <w:t xml:space="preserve"> gender is indeed germane in context</w:t>
      </w:r>
      <w:r w:rsidR="00C26672">
        <w:t>, albeit indirectly</w:t>
      </w:r>
      <w:r w:rsidR="00E579ED">
        <w:t xml:space="preserve">. </w:t>
      </w:r>
      <w:r w:rsidR="00FA4ED0">
        <w:t>And if so</w:t>
      </w:r>
      <w:r w:rsidR="001F2C5B">
        <w:t xml:space="preserve">, </w:t>
      </w:r>
      <w:r w:rsidR="00FA4ED0">
        <w:t xml:space="preserve">then </w:t>
      </w:r>
      <w:r w:rsidR="00FD7D7A">
        <w:t xml:space="preserve">as noted above, </w:t>
      </w:r>
      <w:r w:rsidR="001F2C5B">
        <w:t>English idiom expects specificity in the rendering</w:t>
      </w:r>
      <w:r>
        <w:t>. Hence RJPS reads</w:t>
      </w:r>
      <w:r w:rsidR="001F2C5B">
        <w:t xml:space="preserve"> </w:t>
      </w:r>
      <w:r w:rsidR="000E2D74">
        <w:t>“</w:t>
      </w:r>
      <w:r w:rsidR="001F2C5B">
        <w:t>sons</w:t>
      </w:r>
      <w:r w:rsidR="000E2D74">
        <w:t>”</w:t>
      </w:r>
      <w:r w:rsidR="001F2C5B">
        <w:t xml:space="preserve"> rather than </w:t>
      </w:r>
      <w:r w:rsidR="000E2D74">
        <w:t>“</w:t>
      </w:r>
      <w:r w:rsidR="001F2C5B">
        <w:t>children</w:t>
      </w:r>
      <w:r w:rsidR="000E2D74">
        <w:t>.”</w:t>
      </w:r>
    </w:p>
    <w:p w14:paraId="0EF87D50" w14:textId="77777777" w:rsidR="001B3312" w:rsidRPr="00B45606" w:rsidRDefault="001B3312" w:rsidP="001B3312">
      <w:pPr>
        <w:pStyle w:val="StandardFL"/>
        <w:rPr>
          <w:lang w:bidi="he-IL"/>
        </w:rPr>
      </w:pPr>
    </w:p>
    <w:p w14:paraId="498AE2A9" w14:textId="2EAF8A86" w:rsidR="001B3312" w:rsidRPr="00B45606" w:rsidRDefault="001B3312" w:rsidP="001B3312">
      <w:pPr>
        <w:pStyle w:val="Heading3"/>
        <w:spacing w:before="120"/>
      </w:pPr>
      <w:r>
        <w:t>G</w:t>
      </w:r>
      <w:r w:rsidRPr="00B45606">
        <w:t>ender</w:t>
      </w:r>
      <w:r>
        <w:t xml:space="preserve"> and Figurative Language</w:t>
      </w:r>
    </w:p>
    <w:p w14:paraId="39FABC30" w14:textId="1DCD81B4" w:rsidR="006A2078" w:rsidRPr="00B45606" w:rsidRDefault="00C0069D" w:rsidP="001B3312">
      <w:pPr>
        <w:pStyle w:val="StandardFL"/>
      </w:pPr>
      <w:r w:rsidRPr="00B45606">
        <w:t>G</w:t>
      </w:r>
      <w:r w:rsidR="002147B7" w:rsidRPr="00B45606">
        <w:t>ender-</w:t>
      </w:r>
      <w:r w:rsidR="006A2078" w:rsidRPr="00B45606">
        <w:t>related</w:t>
      </w:r>
      <w:r w:rsidR="002147B7" w:rsidRPr="00B45606">
        <w:t xml:space="preserve"> assumptions </w:t>
      </w:r>
      <w:r w:rsidR="006A2078" w:rsidRPr="00B45606">
        <w:t xml:space="preserve">can </w:t>
      </w:r>
      <w:r w:rsidR="002147B7" w:rsidRPr="00B45606">
        <w:t xml:space="preserve">differ </w:t>
      </w:r>
      <w:r w:rsidRPr="00B45606">
        <w:t>between the</w:t>
      </w:r>
      <w:r w:rsidR="00EA1C23" w:rsidRPr="00B45606">
        <w:t xml:space="preserve"> two </w:t>
      </w:r>
      <w:r w:rsidRPr="00B45606">
        <w:t>audiences</w:t>
      </w:r>
      <w:r w:rsidR="001B3312">
        <w:t>—ancient and modern—in a</w:t>
      </w:r>
      <w:r w:rsidR="00DA0B29">
        <w:t>nother</w:t>
      </w:r>
      <w:r w:rsidR="001B3312">
        <w:t xml:space="preserve"> way, as well.</w:t>
      </w:r>
      <w:r w:rsidR="006A2078" w:rsidRPr="00B45606">
        <w:t xml:space="preserve"> </w:t>
      </w:r>
      <w:r w:rsidR="001B3312">
        <w:t>It involves</w:t>
      </w:r>
      <w:r w:rsidR="006A2078" w:rsidRPr="00B45606">
        <w:t xml:space="preserve"> a</w:t>
      </w:r>
      <w:r w:rsidR="00A1187F" w:rsidRPr="00B45606">
        <w:t xml:space="preserve"> </w:t>
      </w:r>
      <w:r w:rsidR="001B3312">
        <w:t xml:space="preserve">figurative </w:t>
      </w:r>
      <w:r w:rsidR="00DA0B29">
        <w:t>manner</w:t>
      </w:r>
      <w:r w:rsidR="00E510FD" w:rsidRPr="00B45606">
        <w:t xml:space="preserve"> of speaking</w:t>
      </w:r>
      <w:r w:rsidR="00342070">
        <w:t xml:space="preserve"> that</w:t>
      </w:r>
      <w:r w:rsidR="002065AF" w:rsidRPr="00B45606">
        <w:t xml:space="preserve"> </w:t>
      </w:r>
      <w:r w:rsidR="001B3312">
        <w:t>uses</w:t>
      </w:r>
      <w:r w:rsidR="00EA1C23" w:rsidRPr="00B45606">
        <w:t xml:space="preserve"> </w:t>
      </w:r>
      <w:r w:rsidR="002065AF" w:rsidRPr="00B45606">
        <w:t>one</w:t>
      </w:r>
      <w:r w:rsidR="00DF2975" w:rsidRPr="00B45606">
        <w:t xml:space="preserve"> label to </w:t>
      </w:r>
      <w:r w:rsidR="00DF2975" w:rsidRPr="00B45606">
        <w:lastRenderedPageBreak/>
        <w:t xml:space="preserve">refer to two associated </w:t>
      </w:r>
      <w:r w:rsidR="00342070">
        <w:t>things</w:t>
      </w:r>
      <w:r w:rsidR="00342070" w:rsidRPr="00B45606">
        <w:t xml:space="preserve"> </w:t>
      </w:r>
      <w:r w:rsidR="00DF2975" w:rsidRPr="00B45606">
        <w:t xml:space="preserve">at </w:t>
      </w:r>
      <w:r w:rsidR="00342070">
        <w:t>the same time</w:t>
      </w:r>
      <w:r w:rsidR="00DF2975" w:rsidRPr="00B45606">
        <w:t>.</w:t>
      </w:r>
      <w:r w:rsidR="002147B7" w:rsidRPr="00B45606">
        <w:t xml:space="preserve"> For example</w:t>
      </w:r>
      <w:r w:rsidR="007E4393" w:rsidRPr="00B45606">
        <w:t xml:space="preserve">, </w:t>
      </w:r>
      <w:r w:rsidR="00454493">
        <w:rPr>
          <w:smallCaps/>
        </w:rPr>
        <w:t>God</w:t>
      </w:r>
      <w:r w:rsidR="007E4393" w:rsidRPr="00B45606">
        <w:t xml:space="preserve"> </w:t>
      </w:r>
      <w:r w:rsidR="00454493">
        <w:t xml:space="preserve">instructs </w:t>
      </w:r>
      <w:r w:rsidR="007E4393" w:rsidRPr="00B45606">
        <w:rPr>
          <w:szCs w:val="28"/>
        </w:rPr>
        <w:t>M</w:t>
      </w:r>
      <w:r w:rsidR="007E4393" w:rsidRPr="004870C2">
        <w:rPr>
          <w:szCs w:val="28"/>
        </w:rPr>
        <w:t>oses</w:t>
      </w:r>
      <w:r w:rsidR="00FD7D7A" w:rsidRPr="00B45606">
        <w:t xml:space="preserve"> as follows:</w:t>
      </w:r>
    </w:p>
    <w:p w14:paraId="5291061E" w14:textId="6CB90098" w:rsidR="006A2078" w:rsidRPr="00B45606" w:rsidRDefault="008B185B" w:rsidP="00A1187F">
      <w:pPr>
        <w:pStyle w:val="Standard1218justified"/>
        <w:spacing w:before="120" w:after="120"/>
        <w:ind w:left="720" w:firstLine="0"/>
        <w:rPr>
          <w:rFonts w:asciiTheme="majorBidi" w:hAnsiTheme="majorBidi" w:cstheme="majorBidi"/>
          <w:color w:val="000000"/>
          <w:sz w:val="22"/>
          <w:szCs w:val="22"/>
        </w:rPr>
      </w:pPr>
      <w:r w:rsidRPr="00B45606">
        <w:rPr>
          <w:rFonts w:asciiTheme="majorBidi" w:hAnsiTheme="majorBidi" w:cstheme="majorBidi"/>
          <w:color w:val="000000"/>
          <w:sz w:val="22"/>
          <w:szCs w:val="22"/>
        </w:rPr>
        <w:t>T</w:t>
      </w:r>
      <w:r w:rsidRPr="00FD7D7A">
        <w:rPr>
          <w:rFonts w:asciiTheme="majorBidi" w:hAnsiTheme="majorBidi" w:cstheme="majorBidi"/>
          <w:color w:val="000000"/>
          <w:sz w:val="22"/>
          <w:szCs w:val="22"/>
        </w:rPr>
        <w:t>ake a census of the whole Israelite community</w:t>
      </w:r>
      <w:r w:rsidR="00FD7D7A">
        <w:rPr>
          <w:rStyle w:val="FootnoteReference"/>
          <w:rFonts w:asciiTheme="majorBidi" w:hAnsiTheme="majorBidi" w:cstheme="majorBidi"/>
          <w:color w:val="000000"/>
          <w:sz w:val="22"/>
          <w:szCs w:val="22"/>
        </w:rPr>
        <w:footnoteReference w:id="4"/>
      </w:r>
      <w:r w:rsidR="00FD7D7A" w:rsidRPr="00FD7D7A">
        <w:rPr>
          <w:rFonts w:asciiTheme="majorBidi" w:hAnsiTheme="majorBidi" w:cstheme="majorBidi"/>
          <w:color w:val="000000"/>
          <w:sz w:val="22"/>
          <w:szCs w:val="22"/>
        </w:rPr>
        <w:t>.…</w:t>
      </w:r>
      <w:r w:rsidRPr="00FD7D7A">
        <w:rPr>
          <w:rFonts w:asciiTheme="majorBidi" w:hAnsiTheme="majorBidi" w:cstheme="majorBidi"/>
          <w:color w:val="000000"/>
          <w:sz w:val="22"/>
          <w:szCs w:val="22"/>
        </w:rPr>
        <w:t xml:space="preserve"> from the age of twenty years up, all those in Israel who are able to bear arms.</w:t>
      </w:r>
      <w:r w:rsidR="00342070">
        <w:rPr>
          <w:rFonts w:asciiTheme="majorBidi" w:hAnsiTheme="majorBidi" w:cstheme="majorBidi"/>
          <w:color w:val="000000"/>
          <w:sz w:val="22"/>
          <w:szCs w:val="22"/>
        </w:rPr>
        <w:t xml:space="preserve"> </w:t>
      </w:r>
      <w:r w:rsidR="00342070" w:rsidRPr="00342070">
        <w:rPr>
          <w:rFonts w:asciiTheme="majorBidi" w:hAnsiTheme="majorBidi" w:cstheme="majorBidi"/>
          <w:color w:val="000000"/>
          <w:sz w:val="22"/>
          <w:szCs w:val="22"/>
        </w:rPr>
        <w:t>(Num. 1.2–3</w:t>
      </w:r>
      <w:r w:rsidR="00454493">
        <w:rPr>
          <w:rFonts w:asciiTheme="majorBidi" w:hAnsiTheme="majorBidi" w:cstheme="majorBidi"/>
          <w:color w:val="000000"/>
          <w:sz w:val="22"/>
          <w:szCs w:val="22"/>
        </w:rPr>
        <w:t>, NJPS</w:t>
      </w:r>
      <w:r w:rsidR="00342070" w:rsidRPr="00342070">
        <w:rPr>
          <w:rFonts w:asciiTheme="majorBidi" w:hAnsiTheme="majorBidi" w:cstheme="majorBidi"/>
          <w:color w:val="000000"/>
          <w:sz w:val="22"/>
          <w:szCs w:val="22"/>
        </w:rPr>
        <w:t>)</w:t>
      </w:r>
    </w:p>
    <w:p w14:paraId="15AED8C6" w14:textId="66C1D036" w:rsidR="004B1F1E" w:rsidRPr="00B45606" w:rsidRDefault="006A2078" w:rsidP="006A2078">
      <w:pPr>
        <w:pStyle w:val="StandardFL"/>
      </w:pPr>
      <w:r w:rsidRPr="00B45606">
        <w:t>Th</w:t>
      </w:r>
      <w:r w:rsidR="00FD7D7A" w:rsidRPr="00B45606">
        <w:t>e initial</w:t>
      </w:r>
      <w:r w:rsidR="002147B7" w:rsidRPr="00B45606">
        <w:t xml:space="preserve"> label</w:t>
      </w:r>
      <w:r w:rsidR="00FD7D7A" w:rsidRPr="00B45606">
        <w:t xml:space="preserve"> </w:t>
      </w:r>
      <w:r w:rsidR="000E2D74" w:rsidRPr="00B45606">
        <w:t>“</w:t>
      </w:r>
      <w:r w:rsidR="00FD7D7A" w:rsidRPr="00B45606">
        <w:t xml:space="preserve">the </w:t>
      </w:r>
      <w:r w:rsidR="00FD7D7A" w:rsidRPr="00B45606">
        <w:rPr>
          <w:rFonts w:asciiTheme="majorBidi" w:hAnsiTheme="majorBidi" w:cstheme="majorBidi"/>
          <w:color w:val="000000"/>
        </w:rPr>
        <w:t>whole Israelite community</w:t>
      </w:r>
      <w:r w:rsidR="00A03A70">
        <w:rPr>
          <w:rFonts w:asciiTheme="majorBidi" w:hAnsiTheme="majorBidi" w:cstheme="majorBidi"/>
          <w:color w:val="000000"/>
        </w:rPr>
        <w:t>,</w:t>
      </w:r>
      <w:r w:rsidR="000E2D74" w:rsidRPr="00B45606">
        <w:t>”</w:t>
      </w:r>
      <w:r w:rsidR="002147B7" w:rsidRPr="00B45606">
        <w:t xml:space="preserve"> </w:t>
      </w:r>
      <w:r w:rsidR="00A03A70">
        <w:t>taken</w:t>
      </w:r>
      <w:r w:rsidR="00261033" w:rsidRPr="00B45606">
        <w:t xml:space="preserve"> literally</w:t>
      </w:r>
      <w:r w:rsidR="00A03A70">
        <w:t>, is</w:t>
      </w:r>
      <w:r w:rsidR="00261033" w:rsidRPr="00B45606">
        <w:t xml:space="preserve"> </w:t>
      </w:r>
      <w:r w:rsidR="005C737E" w:rsidRPr="00B45606">
        <w:t>at odds</w:t>
      </w:r>
      <w:r w:rsidRPr="00B45606">
        <w:t xml:space="preserve"> with</w:t>
      </w:r>
      <w:r w:rsidR="005C737E" w:rsidRPr="00B45606">
        <w:t xml:space="preserve"> the</w:t>
      </w:r>
      <w:r w:rsidRPr="00B45606">
        <w:t xml:space="preserve"> </w:t>
      </w:r>
      <w:r w:rsidR="007E4393" w:rsidRPr="00B45606">
        <w:t>ancient</w:t>
      </w:r>
      <w:r w:rsidR="005C737E" w:rsidRPr="00B45606">
        <w:t xml:space="preserve"> practice of</w:t>
      </w:r>
      <w:r w:rsidR="007E4393" w:rsidRPr="00B45606">
        <w:t xml:space="preserve"> census</w:t>
      </w:r>
      <w:r w:rsidR="005C737E" w:rsidRPr="00B45606">
        <w:t>-taking</w:t>
      </w:r>
      <w:r w:rsidRPr="00B45606">
        <w:t xml:space="preserve">, </w:t>
      </w:r>
      <w:r w:rsidR="005C737E" w:rsidRPr="00B45606">
        <w:t>which typically</w:t>
      </w:r>
      <w:r w:rsidR="002147B7" w:rsidRPr="00B45606">
        <w:t xml:space="preserve"> </w:t>
      </w:r>
      <w:r w:rsidR="007E4393" w:rsidRPr="00B45606">
        <w:t>count</w:t>
      </w:r>
      <w:r w:rsidR="005C737E" w:rsidRPr="00B45606">
        <w:t>ed</w:t>
      </w:r>
      <w:r w:rsidR="002147B7" w:rsidRPr="00B45606">
        <w:t xml:space="preserve"> only the able-bodied</w:t>
      </w:r>
      <w:r w:rsidR="007E4393" w:rsidRPr="00B45606">
        <w:t xml:space="preserve"> men </w:t>
      </w:r>
      <w:r w:rsidR="002147B7" w:rsidRPr="00B45606">
        <w:t>of military age</w:t>
      </w:r>
      <w:r w:rsidR="007E4393" w:rsidRPr="00B45606">
        <w:t xml:space="preserve">. </w:t>
      </w:r>
      <w:r w:rsidRPr="00B45606">
        <w:t>Th</w:t>
      </w:r>
      <w:r w:rsidR="002065AF" w:rsidRPr="00B45606">
        <w:t>e dissonance</w:t>
      </w:r>
      <w:r w:rsidR="00FD7D7A" w:rsidRPr="00B45606">
        <w:t xml:space="preserve"> is </w:t>
      </w:r>
      <w:r w:rsidR="00421EAC" w:rsidRPr="00B45606">
        <w:t xml:space="preserve">precisely </w:t>
      </w:r>
      <w:r w:rsidR="00FD7D7A" w:rsidRPr="00B45606">
        <w:t>why th</w:t>
      </w:r>
      <w:r w:rsidRPr="00B45606">
        <w:t xml:space="preserve">e ancient audience </w:t>
      </w:r>
      <w:r w:rsidR="005C737E" w:rsidRPr="00B45606">
        <w:t>would have</w:t>
      </w:r>
      <w:r w:rsidRPr="00B45606">
        <w:t xml:space="preserve"> construe</w:t>
      </w:r>
      <w:r w:rsidR="005C737E" w:rsidRPr="00B45606">
        <w:t>d</w:t>
      </w:r>
      <w:r w:rsidR="007E4393" w:rsidRPr="00B45606">
        <w:t xml:space="preserve"> </w:t>
      </w:r>
      <w:r w:rsidR="00792AD3" w:rsidRPr="00B45606">
        <w:t xml:space="preserve">such </w:t>
      </w:r>
      <w:r w:rsidRPr="00B45606">
        <w:t>an expression</w:t>
      </w:r>
      <w:r w:rsidR="007E4393" w:rsidRPr="00B45606">
        <w:t xml:space="preserve"> </w:t>
      </w:r>
      <w:r w:rsidR="004C752C" w:rsidRPr="00B45606">
        <w:t>figurative</w:t>
      </w:r>
      <w:r w:rsidRPr="00B45606">
        <w:t>ly</w:t>
      </w:r>
      <w:r w:rsidR="005C737E" w:rsidRPr="00B45606">
        <w:t xml:space="preserve">. </w:t>
      </w:r>
      <w:r w:rsidR="00DC2F4B" w:rsidRPr="00B45606">
        <w:t>For them, t</w:t>
      </w:r>
      <w:r w:rsidR="004B1F1E" w:rsidRPr="00B45606">
        <w:t xml:space="preserve">he </w:t>
      </w:r>
      <w:r w:rsidR="00AB7CC4" w:rsidRPr="00B45606">
        <w:t>label</w:t>
      </w:r>
      <w:r w:rsidR="004B1F1E" w:rsidRPr="00B45606">
        <w:t xml:space="preserve"> </w:t>
      </w:r>
      <w:r w:rsidR="002065AF" w:rsidRPr="00B45606">
        <w:t xml:space="preserve">is </w:t>
      </w:r>
      <w:r w:rsidR="004C752C" w:rsidRPr="00B45606">
        <w:t>signal</w:t>
      </w:r>
      <w:r w:rsidR="002065AF" w:rsidRPr="00B45606">
        <w:t>ing</w:t>
      </w:r>
      <w:r w:rsidR="004B1F1E" w:rsidRPr="00B45606">
        <w:t xml:space="preserve"> that </w:t>
      </w:r>
      <w:r w:rsidR="004C752C" w:rsidRPr="00B45606">
        <w:t>as</w:t>
      </w:r>
      <w:r w:rsidR="004B1F1E" w:rsidRPr="00B45606">
        <w:t xml:space="preserve"> the militia is counted in preparation </w:t>
      </w:r>
      <w:r w:rsidR="004C752C" w:rsidRPr="00B45606">
        <w:t>for</w:t>
      </w:r>
      <w:r w:rsidR="004B1F1E" w:rsidRPr="00B45606">
        <w:t xml:space="preserve"> battle, it </w:t>
      </w:r>
      <w:r w:rsidR="00AB7CC4" w:rsidRPr="00B45606">
        <w:t xml:space="preserve">should be viewed as </w:t>
      </w:r>
      <w:r w:rsidR="004B1F1E" w:rsidRPr="00B45606">
        <w:t>represent</w:t>
      </w:r>
      <w:r w:rsidR="00AB7CC4" w:rsidRPr="00B45606">
        <w:t xml:space="preserve">ing </w:t>
      </w:r>
      <w:r w:rsidR="004B1F1E" w:rsidRPr="00B45606">
        <w:t xml:space="preserve">the whole community. </w:t>
      </w:r>
      <w:r w:rsidRPr="00B45606">
        <w:t>Although o</w:t>
      </w:r>
      <w:r w:rsidR="00EA1C23" w:rsidRPr="00B45606">
        <w:t xml:space="preserve">nly the </w:t>
      </w:r>
      <w:r w:rsidR="005C737E" w:rsidRPr="00B45606">
        <w:t>latter</w:t>
      </w:r>
      <w:r w:rsidR="00EA1C23" w:rsidRPr="00B45606">
        <w:t xml:space="preserve"> </w:t>
      </w:r>
      <w:r w:rsidR="005C737E" w:rsidRPr="00B45606">
        <w:t>body</w:t>
      </w:r>
      <w:r w:rsidR="00EA1C23" w:rsidRPr="00B45606">
        <w:t xml:space="preserve"> is </w:t>
      </w:r>
      <w:r w:rsidR="002065AF" w:rsidRPr="00B45606">
        <w:t>named</w:t>
      </w:r>
      <w:r w:rsidR="006444E2" w:rsidRPr="00B45606">
        <w:t xml:space="preserve"> in the opening clause</w:t>
      </w:r>
      <w:r w:rsidR="00EA1C23" w:rsidRPr="00B45606">
        <w:t xml:space="preserve">, </w:t>
      </w:r>
      <w:r w:rsidR="002A1FCE" w:rsidRPr="00B45606">
        <w:t xml:space="preserve">the militia </w:t>
      </w:r>
      <w:r w:rsidR="002A1FCE">
        <w:t xml:space="preserve">is </w:t>
      </w:r>
      <w:r w:rsidR="002065AF" w:rsidRPr="00B45606">
        <w:t xml:space="preserve">what </w:t>
      </w:r>
      <w:r w:rsidR="002A1FCE">
        <w:t xml:space="preserve">really </w:t>
      </w:r>
      <w:r w:rsidR="00DC2F4B" w:rsidRPr="00B45606">
        <w:t>stands</w:t>
      </w:r>
      <w:r w:rsidRPr="00B45606">
        <w:t xml:space="preserve"> in the</w:t>
      </w:r>
      <w:r w:rsidR="002065AF" w:rsidRPr="00B45606">
        <w:t xml:space="preserve"> depicted</w:t>
      </w:r>
      <w:r w:rsidRPr="00B45606">
        <w:t xml:space="preserve"> foreground</w:t>
      </w:r>
      <w:r w:rsidR="00EA1C23" w:rsidRPr="00B45606">
        <w:t>.</w:t>
      </w:r>
    </w:p>
    <w:p w14:paraId="3B31554F" w14:textId="6CF1F968" w:rsidR="0092528E" w:rsidRDefault="0092528E" w:rsidP="00D2378E">
      <w:pPr>
        <w:pStyle w:val="Standard1218justified"/>
        <w:rPr>
          <w:rFonts w:asciiTheme="majorBidi" w:hAnsiTheme="majorBidi" w:cstheme="majorBidi"/>
          <w:color w:val="000000"/>
        </w:rPr>
      </w:pPr>
      <w:r>
        <w:rPr>
          <w:rFonts w:asciiTheme="majorBidi" w:hAnsiTheme="majorBidi" w:cstheme="majorBidi"/>
          <w:color w:val="000000"/>
        </w:rPr>
        <w:t>M</w:t>
      </w:r>
      <w:r w:rsidR="00153248">
        <w:rPr>
          <w:rFonts w:asciiTheme="majorBidi" w:hAnsiTheme="majorBidi" w:cstheme="majorBidi"/>
          <w:color w:val="000000"/>
        </w:rPr>
        <w:t>ak</w:t>
      </w:r>
      <w:r>
        <w:rPr>
          <w:rFonts w:asciiTheme="majorBidi" w:hAnsiTheme="majorBidi" w:cstheme="majorBidi"/>
          <w:color w:val="000000"/>
        </w:rPr>
        <w:t>ing</w:t>
      </w:r>
      <w:r w:rsidR="00F850FD">
        <w:rPr>
          <w:rFonts w:asciiTheme="majorBidi" w:hAnsiTheme="majorBidi" w:cstheme="majorBidi"/>
          <w:color w:val="000000"/>
        </w:rPr>
        <w:t xml:space="preserve"> two </w:t>
      </w:r>
      <w:r w:rsidR="00153248">
        <w:rPr>
          <w:rFonts w:asciiTheme="majorBidi" w:hAnsiTheme="majorBidi" w:cstheme="majorBidi"/>
          <w:color w:val="000000"/>
        </w:rPr>
        <w:t xml:space="preserve">related </w:t>
      </w:r>
      <w:r w:rsidR="00F850FD">
        <w:rPr>
          <w:rFonts w:asciiTheme="majorBidi" w:hAnsiTheme="majorBidi" w:cstheme="majorBidi"/>
          <w:color w:val="000000"/>
        </w:rPr>
        <w:t>references at once</w:t>
      </w:r>
      <w:r w:rsidR="004F2630" w:rsidRPr="00B45606">
        <w:rPr>
          <w:rFonts w:asciiTheme="majorBidi" w:hAnsiTheme="majorBidi" w:cstheme="majorBidi"/>
          <w:color w:val="000000"/>
        </w:rPr>
        <w:t xml:space="preserve"> is </w:t>
      </w:r>
      <w:r w:rsidR="00F850FD">
        <w:rPr>
          <w:rFonts w:asciiTheme="majorBidi" w:hAnsiTheme="majorBidi" w:cstheme="majorBidi"/>
          <w:color w:val="000000"/>
        </w:rPr>
        <w:t>attractive as an</w:t>
      </w:r>
      <w:r w:rsidR="004F2630" w:rsidRPr="00B45606">
        <w:rPr>
          <w:rFonts w:asciiTheme="majorBidi" w:hAnsiTheme="majorBidi" w:cstheme="majorBidi"/>
          <w:color w:val="000000"/>
        </w:rPr>
        <w:t xml:space="preserve"> efficient</w:t>
      </w:r>
      <w:r w:rsidR="00F850FD">
        <w:rPr>
          <w:rFonts w:asciiTheme="majorBidi" w:hAnsiTheme="majorBidi" w:cstheme="majorBidi"/>
          <w:color w:val="000000"/>
        </w:rPr>
        <w:t xml:space="preserve"> way to c</w:t>
      </w:r>
      <w:r w:rsidR="00F850FD" w:rsidRPr="00B45606">
        <w:rPr>
          <w:rFonts w:asciiTheme="majorBidi" w:hAnsiTheme="majorBidi" w:cstheme="majorBidi"/>
          <w:color w:val="000000"/>
        </w:rPr>
        <w:t>ommunicate</w:t>
      </w:r>
      <w:r>
        <w:rPr>
          <w:rFonts w:asciiTheme="majorBidi" w:hAnsiTheme="majorBidi" w:cstheme="majorBidi"/>
          <w:color w:val="000000"/>
        </w:rPr>
        <w:t xml:space="preserve">: it </w:t>
      </w:r>
      <w:r w:rsidR="00530862">
        <w:rPr>
          <w:rFonts w:asciiTheme="majorBidi" w:hAnsiTheme="majorBidi" w:cstheme="majorBidi"/>
          <w:color w:val="000000"/>
        </w:rPr>
        <w:t>need</w:t>
      </w:r>
      <w:r>
        <w:rPr>
          <w:rFonts w:asciiTheme="majorBidi" w:hAnsiTheme="majorBidi" w:cstheme="majorBidi"/>
          <w:color w:val="000000"/>
        </w:rPr>
        <w:t>s</w:t>
      </w:r>
      <w:r w:rsidR="00F850FD">
        <w:rPr>
          <w:rFonts w:asciiTheme="majorBidi" w:hAnsiTheme="majorBidi" w:cstheme="majorBidi"/>
          <w:color w:val="000000"/>
        </w:rPr>
        <w:t xml:space="preserve"> less effort to articulate and to understand</w:t>
      </w:r>
      <w:r w:rsidR="00153248">
        <w:rPr>
          <w:rFonts w:asciiTheme="majorBidi" w:hAnsiTheme="majorBidi" w:cstheme="majorBidi"/>
          <w:color w:val="000000"/>
        </w:rPr>
        <w:t xml:space="preserve"> than</w:t>
      </w:r>
      <w:r>
        <w:rPr>
          <w:rFonts w:asciiTheme="majorBidi" w:hAnsiTheme="majorBidi" w:cstheme="majorBidi"/>
          <w:color w:val="000000"/>
        </w:rPr>
        <w:t xml:space="preserve"> would mentioning each referent separately</w:t>
      </w:r>
      <w:r w:rsidR="004F2630" w:rsidRPr="00B45606">
        <w:rPr>
          <w:rFonts w:asciiTheme="majorBidi" w:hAnsiTheme="majorBidi" w:cstheme="majorBidi"/>
          <w:color w:val="000000"/>
        </w:rPr>
        <w:t xml:space="preserve">. </w:t>
      </w:r>
      <w:r w:rsidR="009427AD">
        <w:rPr>
          <w:rFonts w:asciiTheme="majorBidi" w:hAnsiTheme="majorBidi" w:cstheme="majorBidi"/>
          <w:color w:val="000000"/>
        </w:rPr>
        <w:t>L</w:t>
      </w:r>
      <w:r w:rsidR="00EA1C23" w:rsidRPr="00B45606">
        <w:rPr>
          <w:rFonts w:asciiTheme="majorBidi" w:hAnsiTheme="majorBidi" w:cstheme="majorBidi"/>
          <w:color w:val="000000"/>
        </w:rPr>
        <w:t xml:space="preserve">inguists </w:t>
      </w:r>
      <w:r w:rsidR="009427AD">
        <w:rPr>
          <w:rFonts w:asciiTheme="majorBidi" w:hAnsiTheme="majorBidi" w:cstheme="majorBidi"/>
          <w:color w:val="000000"/>
        </w:rPr>
        <w:t>call it</w:t>
      </w:r>
      <w:r w:rsidR="009427AD" w:rsidRPr="00B45606">
        <w:rPr>
          <w:rFonts w:asciiTheme="majorBidi" w:hAnsiTheme="majorBidi" w:cstheme="majorBidi"/>
          <w:color w:val="000000"/>
        </w:rPr>
        <w:t xml:space="preserve"> </w:t>
      </w:r>
      <w:r w:rsidR="00EA1C23" w:rsidRPr="00B45606">
        <w:rPr>
          <w:rFonts w:asciiTheme="majorBidi" w:hAnsiTheme="majorBidi" w:cstheme="majorBidi"/>
          <w:i/>
          <w:iCs/>
          <w:color w:val="000000"/>
        </w:rPr>
        <w:t>conventional metonymy</w:t>
      </w:r>
      <w:r w:rsidR="00EA1C23" w:rsidRPr="00B45606">
        <w:rPr>
          <w:rFonts w:asciiTheme="majorBidi" w:hAnsiTheme="majorBidi" w:cstheme="majorBidi"/>
          <w:color w:val="000000"/>
        </w:rPr>
        <w:t xml:space="preserve">. </w:t>
      </w:r>
    </w:p>
    <w:p w14:paraId="076AE4F0" w14:textId="70FC394E" w:rsidR="004238C1" w:rsidRPr="00B45606" w:rsidRDefault="00640596" w:rsidP="00D2378E">
      <w:pPr>
        <w:pStyle w:val="Standard1218justified"/>
        <w:rPr>
          <w:rFonts w:asciiTheme="majorBidi" w:hAnsiTheme="majorBidi" w:cstheme="majorBidi"/>
          <w:color w:val="000000"/>
        </w:rPr>
      </w:pPr>
      <w:r w:rsidRPr="00B45606">
        <w:rPr>
          <w:rFonts w:asciiTheme="majorBidi" w:hAnsiTheme="majorBidi" w:cstheme="majorBidi"/>
          <w:color w:val="000000"/>
        </w:rPr>
        <w:t xml:space="preserve">Unfortunately, </w:t>
      </w:r>
      <w:r w:rsidR="00153248">
        <w:rPr>
          <w:rFonts w:asciiTheme="majorBidi" w:hAnsiTheme="majorBidi" w:cstheme="majorBidi"/>
          <w:color w:val="000000"/>
        </w:rPr>
        <w:t>this device</w:t>
      </w:r>
      <w:r w:rsidRPr="00B45606">
        <w:rPr>
          <w:rFonts w:asciiTheme="majorBidi" w:hAnsiTheme="majorBidi" w:cstheme="majorBidi"/>
          <w:color w:val="000000"/>
        </w:rPr>
        <w:t xml:space="preserve"> can create mischief in translation, </w:t>
      </w:r>
      <w:r w:rsidR="00D64969" w:rsidRPr="00B45606">
        <w:rPr>
          <w:rFonts w:asciiTheme="majorBidi" w:hAnsiTheme="majorBidi" w:cstheme="majorBidi"/>
          <w:color w:val="000000"/>
        </w:rPr>
        <w:t xml:space="preserve">because </w:t>
      </w:r>
      <w:r w:rsidR="009427AD">
        <w:rPr>
          <w:rFonts w:asciiTheme="majorBidi" w:hAnsiTheme="majorBidi" w:cstheme="majorBidi"/>
          <w:color w:val="000000"/>
        </w:rPr>
        <w:t xml:space="preserve">what is </w:t>
      </w:r>
      <w:r w:rsidR="00153248">
        <w:rPr>
          <w:rFonts w:asciiTheme="majorBidi" w:hAnsiTheme="majorBidi" w:cstheme="majorBidi"/>
          <w:color w:val="000000"/>
        </w:rPr>
        <w:t xml:space="preserve">considered to be </w:t>
      </w:r>
      <w:r w:rsidR="00D64969" w:rsidRPr="00B45606">
        <w:rPr>
          <w:rFonts w:asciiTheme="majorBidi" w:hAnsiTheme="majorBidi" w:cstheme="majorBidi"/>
          <w:color w:val="000000"/>
        </w:rPr>
        <w:t>c</w:t>
      </w:r>
      <w:r w:rsidR="00F469FF" w:rsidRPr="00B45606">
        <w:rPr>
          <w:rFonts w:asciiTheme="majorBidi" w:hAnsiTheme="majorBidi" w:cstheme="majorBidi"/>
          <w:color w:val="000000"/>
        </w:rPr>
        <w:t xml:space="preserve">onventional </w:t>
      </w:r>
      <w:r w:rsidR="007E4393" w:rsidRPr="00B45606">
        <w:rPr>
          <w:rFonts w:asciiTheme="majorBidi" w:hAnsiTheme="majorBidi" w:cstheme="majorBidi"/>
          <w:color w:val="000000"/>
        </w:rPr>
        <w:t>var</w:t>
      </w:r>
      <w:r w:rsidR="009427AD">
        <w:rPr>
          <w:rFonts w:asciiTheme="majorBidi" w:hAnsiTheme="majorBidi" w:cstheme="majorBidi"/>
          <w:color w:val="000000"/>
        </w:rPr>
        <w:t>ies</w:t>
      </w:r>
      <w:r w:rsidR="007E4393" w:rsidRPr="00B45606">
        <w:rPr>
          <w:rFonts w:asciiTheme="majorBidi" w:hAnsiTheme="majorBidi" w:cstheme="majorBidi"/>
          <w:color w:val="000000"/>
        </w:rPr>
        <w:t xml:space="preserve"> from one language </w:t>
      </w:r>
      <w:r w:rsidR="00153248">
        <w:rPr>
          <w:rFonts w:asciiTheme="majorBidi" w:hAnsiTheme="majorBidi" w:cstheme="majorBidi"/>
          <w:color w:val="000000"/>
        </w:rPr>
        <w:t xml:space="preserve">community </w:t>
      </w:r>
      <w:r w:rsidR="007E4393" w:rsidRPr="00B45606">
        <w:rPr>
          <w:rFonts w:asciiTheme="majorBidi" w:hAnsiTheme="majorBidi" w:cstheme="majorBidi"/>
          <w:color w:val="000000"/>
        </w:rPr>
        <w:t xml:space="preserve">to another. </w:t>
      </w:r>
      <w:r w:rsidR="00421EAC" w:rsidRPr="00B45606">
        <w:rPr>
          <w:rFonts w:asciiTheme="majorBidi" w:hAnsiTheme="majorBidi" w:cstheme="majorBidi"/>
          <w:color w:val="000000"/>
        </w:rPr>
        <w:t>The above example is one</w:t>
      </w:r>
      <w:r w:rsidR="00DC2F4B" w:rsidRPr="00B45606">
        <w:rPr>
          <w:rFonts w:asciiTheme="majorBidi" w:hAnsiTheme="majorBidi" w:cstheme="majorBidi"/>
          <w:color w:val="000000"/>
        </w:rPr>
        <w:t xml:space="preserve"> of those</w:t>
      </w:r>
      <w:r w:rsidR="00421EAC" w:rsidRPr="00B45606">
        <w:rPr>
          <w:rFonts w:asciiTheme="majorBidi" w:hAnsiTheme="majorBidi" w:cstheme="majorBidi"/>
          <w:color w:val="000000"/>
        </w:rPr>
        <w:t xml:space="preserve"> case</w:t>
      </w:r>
      <w:r w:rsidR="00DC2F4B" w:rsidRPr="00B45606">
        <w:rPr>
          <w:rFonts w:asciiTheme="majorBidi" w:hAnsiTheme="majorBidi" w:cstheme="majorBidi"/>
          <w:color w:val="000000"/>
        </w:rPr>
        <w:t>s</w:t>
      </w:r>
      <w:r w:rsidR="00421EAC" w:rsidRPr="00B45606">
        <w:rPr>
          <w:rFonts w:asciiTheme="majorBidi" w:hAnsiTheme="majorBidi" w:cstheme="majorBidi"/>
          <w:color w:val="000000"/>
        </w:rPr>
        <w:t xml:space="preserve"> that</w:t>
      </w:r>
      <w:r w:rsidR="007E4393" w:rsidRPr="00B45606">
        <w:rPr>
          <w:rFonts w:asciiTheme="majorBidi" w:hAnsiTheme="majorBidi" w:cstheme="majorBidi"/>
          <w:color w:val="000000"/>
        </w:rPr>
        <w:t xml:space="preserve"> </w:t>
      </w:r>
      <w:r w:rsidR="00462422" w:rsidRPr="00B45606">
        <w:rPr>
          <w:rFonts w:asciiTheme="majorBidi" w:hAnsiTheme="majorBidi" w:cstheme="majorBidi"/>
          <w:color w:val="000000"/>
        </w:rPr>
        <w:t>tend to</w:t>
      </w:r>
      <w:r w:rsidR="007E4393" w:rsidRPr="00B45606">
        <w:rPr>
          <w:rFonts w:asciiTheme="majorBidi" w:hAnsiTheme="majorBidi" w:cstheme="majorBidi"/>
          <w:color w:val="000000"/>
        </w:rPr>
        <w:t xml:space="preserve"> be </w:t>
      </w:r>
      <w:r w:rsidR="004B1F1E" w:rsidRPr="00B45606">
        <w:rPr>
          <w:rFonts w:asciiTheme="majorBidi" w:hAnsiTheme="majorBidi" w:cstheme="majorBidi"/>
          <w:color w:val="000000"/>
        </w:rPr>
        <w:t>taken literally</w:t>
      </w:r>
      <w:r w:rsidR="009427AD">
        <w:rPr>
          <w:rFonts w:asciiTheme="majorBidi" w:hAnsiTheme="majorBidi" w:cstheme="majorBidi"/>
          <w:color w:val="000000"/>
        </w:rPr>
        <w:t xml:space="preserve"> in English</w:t>
      </w:r>
      <w:r w:rsidR="00421EAC" w:rsidRPr="00B45606">
        <w:rPr>
          <w:rFonts w:asciiTheme="majorBidi" w:hAnsiTheme="majorBidi" w:cstheme="majorBidi"/>
          <w:color w:val="000000"/>
        </w:rPr>
        <w:t xml:space="preserve">, </w:t>
      </w:r>
      <w:r w:rsidR="009427AD">
        <w:rPr>
          <w:rFonts w:asciiTheme="majorBidi" w:hAnsiTheme="majorBidi" w:cstheme="majorBidi"/>
          <w:color w:val="000000"/>
        </w:rPr>
        <w:t>where</w:t>
      </w:r>
      <w:r w:rsidR="002147B7" w:rsidRPr="00B45606">
        <w:rPr>
          <w:rFonts w:asciiTheme="majorBidi" w:hAnsiTheme="majorBidi" w:cstheme="majorBidi"/>
          <w:color w:val="000000"/>
        </w:rPr>
        <w:t xml:space="preserve"> </w:t>
      </w:r>
      <w:r w:rsidR="00F469FF" w:rsidRPr="00B45606">
        <w:rPr>
          <w:rFonts w:asciiTheme="majorBidi" w:hAnsiTheme="majorBidi" w:cstheme="majorBidi"/>
          <w:color w:val="000000"/>
        </w:rPr>
        <w:t>“the whole community”</w:t>
      </w:r>
      <w:r w:rsidR="004B1F1E" w:rsidRPr="00B45606">
        <w:rPr>
          <w:rFonts w:asciiTheme="majorBidi" w:hAnsiTheme="majorBidi" w:cstheme="majorBidi"/>
          <w:color w:val="000000"/>
        </w:rPr>
        <w:t xml:space="preserve"> is not a conventional metonym.</w:t>
      </w:r>
      <w:r w:rsidR="005F20D6" w:rsidRPr="00B45606">
        <w:rPr>
          <w:rFonts w:asciiTheme="majorBidi" w:hAnsiTheme="majorBidi" w:cstheme="majorBidi"/>
          <w:color w:val="000000"/>
        </w:rPr>
        <w:t xml:space="preserve"> </w:t>
      </w:r>
      <w:r w:rsidR="008074E4">
        <w:rPr>
          <w:rFonts w:asciiTheme="majorBidi" w:hAnsiTheme="majorBidi" w:cstheme="majorBidi"/>
          <w:color w:val="000000"/>
        </w:rPr>
        <w:t>And b</w:t>
      </w:r>
      <w:r w:rsidR="00E36444">
        <w:rPr>
          <w:rFonts w:asciiTheme="majorBidi" w:hAnsiTheme="majorBidi" w:cstheme="majorBidi"/>
          <w:color w:val="000000"/>
        </w:rPr>
        <w:t>ecause</w:t>
      </w:r>
      <w:r w:rsidR="009427AD">
        <w:rPr>
          <w:rFonts w:asciiTheme="majorBidi" w:hAnsiTheme="majorBidi" w:cstheme="majorBidi"/>
          <w:color w:val="000000"/>
        </w:rPr>
        <w:t xml:space="preserve"> </w:t>
      </w:r>
      <w:r w:rsidR="003C0C91">
        <w:rPr>
          <w:rFonts w:asciiTheme="majorBidi" w:hAnsiTheme="majorBidi" w:cstheme="majorBidi"/>
          <w:color w:val="000000"/>
        </w:rPr>
        <w:t>we</w:t>
      </w:r>
      <w:r w:rsidR="005F20D6" w:rsidRPr="00B45606">
        <w:rPr>
          <w:rFonts w:asciiTheme="majorBidi" w:hAnsiTheme="majorBidi" w:cstheme="majorBidi"/>
          <w:color w:val="000000"/>
        </w:rPr>
        <w:t xml:space="preserve"> </w:t>
      </w:r>
      <w:r w:rsidR="00DC2F4B" w:rsidRPr="00B45606">
        <w:rPr>
          <w:rFonts w:asciiTheme="majorBidi" w:hAnsiTheme="majorBidi" w:cstheme="majorBidi"/>
          <w:color w:val="000000"/>
        </w:rPr>
        <w:t xml:space="preserve">English </w:t>
      </w:r>
      <w:r w:rsidR="005F20D6" w:rsidRPr="00B45606">
        <w:rPr>
          <w:rFonts w:asciiTheme="majorBidi" w:hAnsiTheme="majorBidi" w:cstheme="majorBidi"/>
          <w:color w:val="000000"/>
        </w:rPr>
        <w:t>reader</w:t>
      </w:r>
      <w:r w:rsidR="00E36444">
        <w:rPr>
          <w:rFonts w:asciiTheme="majorBidi" w:hAnsiTheme="majorBidi" w:cstheme="majorBidi"/>
          <w:color w:val="000000"/>
        </w:rPr>
        <w:t>s</w:t>
      </w:r>
      <w:r w:rsidR="005F20D6" w:rsidRPr="00B45606">
        <w:rPr>
          <w:rFonts w:asciiTheme="majorBidi" w:hAnsiTheme="majorBidi" w:cstheme="majorBidi"/>
          <w:color w:val="000000"/>
        </w:rPr>
        <w:t xml:space="preserve"> </w:t>
      </w:r>
      <w:r w:rsidR="005E145B" w:rsidRPr="00B45606">
        <w:rPr>
          <w:rFonts w:asciiTheme="majorBidi" w:hAnsiTheme="majorBidi" w:cstheme="majorBidi"/>
          <w:color w:val="000000"/>
        </w:rPr>
        <w:t>expect</w:t>
      </w:r>
      <w:r w:rsidR="005F20D6" w:rsidRPr="00B45606">
        <w:rPr>
          <w:rFonts w:asciiTheme="majorBidi" w:hAnsiTheme="majorBidi" w:cstheme="majorBidi"/>
          <w:color w:val="000000"/>
        </w:rPr>
        <w:t xml:space="preserve"> “the whole community” </w:t>
      </w:r>
      <w:r w:rsidR="00E36444">
        <w:rPr>
          <w:rFonts w:asciiTheme="majorBidi" w:hAnsiTheme="majorBidi" w:cstheme="majorBidi"/>
          <w:color w:val="000000"/>
        </w:rPr>
        <w:t>to</w:t>
      </w:r>
      <w:r w:rsidR="00E36444" w:rsidRPr="00B45606">
        <w:rPr>
          <w:rFonts w:asciiTheme="majorBidi" w:hAnsiTheme="majorBidi" w:cstheme="majorBidi"/>
          <w:color w:val="000000"/>
        </w:rPr>
        <w:t xml:space="preserve"> </w:t>
      </w:r>
      <w:r w:rsidR="005F20D6" w:rsidRPr="00B45606">
        <w:rPr>
          <w:rFonts w:asciiTheme="majorBidi" w:hAnsiTheme="majorBidi" w:cstheme="majorBidi"/>
          <w:color w:val="000000"/>
        </w:rPr>
        <w:t>include women</w:t>
      </w:r>
      <w:r w:rsidR="003C0C91">
        <w:rPr>
          <w:rFonts w:asciiTheme="majorBidi" w:hAnsiTheme="majorBidi" w:cstheme="majorBidi"/>
          <w:color w:val="000000"/>
        </w:rPr>
        <w:t xml:space="preserve">, </w:t>
      </w:r>
      <w:r w:rsidR="0092528E">
        <w:rPr>
          <w:rFonts w:asciiTheme="majorBidi" w:hAnsiTheme="majorBidi" w:cstheme="majorBidi"/>
          <w:color w:val="000000"/>
        </w:rPr>
        <w:t>that pair of</w:t>
      </w:r>
      <w:r w:rsidR="00DC2F4B" w:rsidRPr="00B45606">
        <w:rPr>
          <w:rFonts w:asciiTheme="majorBidi" w:hAnsiTheme="majorBidi" w:cstheme="majorBidi"/>
          <w:color w:val="000000"/>
        </w:rPr>
        <w:t xml:space="preserve"> </w:t>
      </w:r>
      <w:r w:rsidR="00421EAC" w:rsidRPr="00B45606">
        <w:rPr>
          <w:rFonts w:asciiTheme="majorBidi" w:hAnsiTheme="majorBidi" w:cstheme="majorBidi"/>
          <w:color w:val="000000"/>
        </w:rPr>
        <w:t>verses</w:t>
      </w:r>
      <w:r w:rsidR="00DD442B">
        <w:rPr>
          <w:rFonts w:asciiTheme="majorBidi" w:hAnsiTheme="majorBidi" w:cstheme="majorBidi"/>
          <w:color w:val="000000"/>
        </w:rPr>
        <w:t xml:space="preserve"> in NJPS</w:t>
      </w:r>
      <w:r w:rsidR="0092528E">
        <w:rPr>
          <w:rFonts w:asciiTheme="majorBidi" w:hAnsiTheme="majorBidi" w:cstheme="majorBidi"/>
          <w:color w:val="000000"/>
        </w:rPr>
        <w:t xml:space="preserve"> tends to</w:t>
      </w:r>
      <w:r w:rsidR="00F469FF" w:rsidRPr="00B45606">
        <w:rPr>
          <w:rFonts w:asciiTheme="majorBidi" w:hAnsiTheme="majorBidi" w:cstheme="majorBidi"/>
          <w:color w:val="000000"/>
        </w:rPr>
        <w:t xml:space="preserve"> </w:t>
      </w:r>
      <w:r w:rsidR="003C0C91">
        <w:rPr>
          <w:rFonts w:asciiTheme="majorBidi" w:hAnsiTheme="majorBidi" w:cstheme="majorBidi"/>
          <w:color w:val="000000"/>
        </w:rPr>
        <w:t>strike us as in</w:t>
      </w:r>
      <w:r w:rsidR="004C752C" w:rsidRPr="00B45606">
        <w:rPr>
          <w:rFonts w:asciiTheme="majorBidi" w:hAnsiTheme="majorBidi" w:cstheme="majorBidi"/>
          <w:color w:val="000000"/>
        </w:rPr>
        <w:t>coheren</w:t>
      </w:r>
      <w:r w:rsidR="003C0C91">
        <w:rPr>
          <w:rFonts w:asciiTheme="majorBidi" w:hAnsiTheme="majorBidi" w:cstheme="majorBidi"/>
          <w:color w:val="000000"/>
        </w:rPr>
        <w:t>t</w:t>
      </w:r>
      <w:r w:rsidR="008074E4">
        <w:rPr>
          <w:rFonts w:asciiTheme="majorBidi" w:hAnsiTheme="majorBidi" w:cstheme="majorBidi"/>
          <w:color w:val="000000"/>
        </w:rPr>
        <w:t xml:space="preserve"> with regard to gender</w:t>
      </w:r>
      <w:r w:rsidR="005F20D6" w:rsidRPr="00B45606">
        <w:rPr>
          <w:rFonts w:asciiTheme="majorBidi" w:hAnsiTheme="majorBidi" w:cstheme="majorBidi"/>
          <w:color w:val="000000"/>
        </w:rPr>
        <w:t>.</w:t>
      </w:r>
      <w:r w:rsidR="00AB7CC4" w:rsidRPr="00B45606">
        <w:rPr>
          <w:rStyle w:val="FootnoteReference"/>
          <w:rFonts w:asciiTheme="majorBidi" w:hAnsiTheme="majorBidi" w:cstheme="majorBidi"/>
          <w:color w:val="000000"/>
        </w:rPr>
        <w:footnoteReference w:id="5"/>
      </w:r>
    </w:p>
    <w:p w14:paraId="28AEAD3B" w14:textId="67364B7F" w:rsidR="007E4393" w:rsidRPr="00B45606" w:rsidRDefault="0092528E" w:rsidP="00086A15">
      <w:pPr>
        <w:pStyle w:val="Standard1218justified"/>
        <w:rPr>
          <w:rFonts w:asciiTheme="majorBidi" w:hAnsiTheme="majorBidi" w:cstheme="majorBidi"/>
          <w:color w:val="000000"/>
        </w:rPr>
      </w:pPr>
      <w:r>
        <w:rPr>
          <w:rFonts w:asciiTheme="majorBidi" w:hAnsiTheme="majorBidi" w:cstheme="majorBidi"/>
          <w:color w:val="000000"/>
        </w:rPr>
        <w:t>In general, w</w:t>
      </w:r>
      <w:r w:rsidR="00244491">
        <w:t xml:space="preserve">here </w:t>
      </w:r>
      <w:r w:rsidR="00DD442B">
        <w:t>there are</w:t>
      </w:r>
      <w:r w:rsidR="00244491" w:rsidRPr="00B45606">
        <w:t xml:space="preserve"> t</w:t>
      </w:r>
      <w:r w:rsidR="00244491">
        <w:t>wo simultaneous referen</w:t>
      </w:r>
      <w:r w:rsidR="00DD442B">
        <w:t>ces that</w:t>
      </w:r>
      <w:r w:rsidR="00244491">
        <w:t xml:space="preserve"> differ</w:t>
      </w:r>
      <w:r w:rsidR="00A870F1">
        <w:t xml:space="preserve"> in their gender implications</w:t>
      </w:r>
      <w:r w:rsidR="00DD442B">
        <w:t xml:space="preserve"> and the metonym is not conventional in English</w:t>
      </w:r>
      <w:r w:rsidR="00244491">
        <w:t>,</w:t>
      </w:r>
      <w:r w:rsidR="00244491" w:rsidRPr="00B45606">
        <w:rPr>
          <w:rFonts w:asciiTheme="majorBidi" w:hAnsiTheme="majorBidi" w:cstheme="majorBidi"/>
          <w:color w:val="000000"/>
        </w:rPr>
        <w:t xml:space="preserve"> </w:t>
      </w:r>
      <w:r w:rsidR="00DD442B">
        <w:rPr>
          <w:rFonts w:asciiTheme="majorBidi" w:hAnsiTheme="majorBidi" w:cstheme="majorBidi"/>
          <w:color w:val="000000"/>
        </w:rPr>
        <w:t xml:space="preserve">the </w:t>
      </w:r>
      <w:r w:rsidR="00DD442B" w:rsidRPr="00B45606">
        <w:rPr>
          <w:rFonts w:asciiTheme="majorBidi" w:hAnsiTheme="majorBidi" w:cstheme="majorBidi"/>
          <w:color w:val="000000"/>
        </w:rPr>
        <w:t xml:space="preserve">present translation </w:t>
      </w:r>
      <w:r w:rsidR="00DD442B">
        <w:rPr>
          <w:rFonts w:asciiTheme="majorBidi" w:hAnsiTheme="majorBidi" w:cstheme="majorBidi"/>
          <w:color w:val="000000"/>
        </w:rPr>
        <w:t xml:space="preserve">offers </w:t>
      </w:r>
      <w:r w:rsidR="007E4393" w:rsidRPr="00B45606">
        <w:rPr>
          <w:rFonts w:asciiTheme="majorBidi" w:hAnsiTheme="majorBidi" w:cstheme="majorBidi"/>
          <w:color w:val="000000"/>
        </w:rPr>
        <w:t>a footnote</w:t>
      </w:r>
      <w:r w:rsidR="00244491" w:rsidRPr="00B45606">
        <w:rPr>
          <w:rFonts w:asciiTheme="majorBidi" w:hAnsiTheme="majorBidi" w:cstheme="majorBidi"/>
          <w:color w:val="000000"/>
        </w:rPr>
        <w:t xml:space="preserve"> </w:t>
      </w:r>
      <w:r w:rsidR="00A870F1" w:rsidRPr="00B45606">
        <w:rPr>
          <w:rFonts w:asciiTheme="majorBidi" w:hAnsiTheme="majorBidi" w:cstheme="majorBidi"/>
          <w:color w:val="000000"/>
        </w:rPr>
        <w:t>to</w:t>
      </w:r>
      <w:r w:rsidR="007E4393" w:rsidRPr="00B45606">
        <w:rPr>
          <w:rFonts w:asciiTheme="majorBidi" w:hAnsiTheme="majorBidi" w:cstheme="majorBidi"/>
          <w:color w:val="000000"/>
        </w:rPr>
        <w:t xml:space="preserve"> </w:t>
      </w:r>
      <w:r w:rsidR="00A870F1" w:rsidRPr="00B45606">
        <w:rPr>
          <w:rFonts w:asciiTheme="majorBidi" w:hAnsiTheme="majorBidi" w:cstheme="majorBidi"/>
          <w:color w:val="000000"/>
        </w:rPr>
        <w:t xml:space="preserve">unpack </w:t>
      </w:r>
      <w:r w:rsidR="00DD442B">
        <w:rPr>
          <w:rFonts w:asciiTheme="majorBidi" w:hAnsiTheme="majorBidi" w:cstheme="majorBidi"/>
          <w:color w:val="000000"/>
        </w:rPr>
        <w:t>that</w:t>
      </w:r>
      <w:r w:rsidR="00A870F1" w:rsidRPr="00B45606">
        <w:rPr>
          <w:rFonts w:asciiTheme="majorBidi" w:hAnsiTheme="majorBidi" w:cstheme="majorBidi"/>
          <w:color w:val="000000"/>
        </w:rPr>
        <w:t xml:space="preserve"> metonym</w:t>
      </w:r>
      <w:r w:rsidR="00DD442B">
        <w:rPr>
          <w:rFonts w:asciiTheme="majorBidi" w:hAnsiTheme="majorBidi" w:cstheme="majorBidi"/>
          <w:color w:val="000000"/>
        </w:rPr>
        <w:t>. The footnote</w:t>
      </w:r>
      <w:r w:rsidR="00A870F1" w:rsidRPr="00B45606">
        <w:rPr>
          <w:rFonts w:asciiTheme="majorBidi" w:hAnsiTheme="majorBidi" w:cstheme="majorBidi"/>
          <w:color w:val="000000"/>
        </w:rPr>
        <w:t xml:space="preserve"> </w:t>
      </w:r>
      <w:r w:rsidR="00144A0F" w:rsidRPr="00B45606">
        <w:rPr>
          <w:rFonts w:asciiTheme="majorBidi" w:hAnsiTheme="majorBidi" w:cstheme="majorBidi"/>
          <w:color w:val="000000"/>
        </w:rPr>
        <w:t>point</w:t>
      </w:r>
      <w:r w:rsidR="00DD442B">
        <w:rPr>
          <w:rFonts w:asciiTheme="majorBidi" w:hAnsiTheme="majorBidi" w:cstheme="majorBidi"/>
          <w:color w:val="000000"/>
        </w:rPr>
        <w:t>s</w:t>
      </w:r>
      <w:r w:rsidR="00144A0F" w:rsidRPr="00B45606">
        <w:rPr>
          <w:rFonts w:asciiTheme="majorBidi" w:hAnsiTheme="majorBidi" w:cstheme="majorBidi"/>
          <w:color w:val="000000"/>
        </w:rPr>
        <w:t xml:space="preserve"> to</w:t>
      </w:r>
      <w:r w:rsidR="007E4393" w:rsidRPr="00B45606">
        <w:rPr>
          <w:rFonts w:asciiTheme="majorBidi" w:hAnsiTheme="majorBidi" w:cstheme="majorBidi"/>
          <w:color w:val="000000"/>
        </w:rPr>
        <w:t xml:space="preserve"> the </w:t>
      </w:r>
      <w:r w:rsidR="00244491" w:rsidRPr="00B45606">
        <w:rPr>
          <w:rFonts w:asciiTheme="majorBidi" w:hAnsiTheme="majorBidi" w:cstheme="majorBidi"/>
          <w:color w:val="000000"/>
        </w:rPr>
        <w:t>unnamed</w:t>
      </w:r>
      <w:r w:rsidR="007E4393" w:rsidRPr="00B45606">
        <w:rPr>
          <w:rFonts w:asciiTheme="majorBidi" w:hAnsiTheme="majorBidi" w:cstheme="majorBidi"/>
          <w:color w:val="000000"/>
        </w:rPr>
        <w:t xml:space="preserve"> </w:t>
      </w:r>
      <w:r w:rsidR="00DD442B">
        <w:rPr>
          <w:rFonts w:asciiTheme="majorBidi" w:hAnsiTheme="majorBidi" w:cstheme="majorBidi"/>
          <w:color w:val="000000"/>
        </w:rPr>
        <w:t>party</w:t>
      </w:r>
      <w:r w:rsidR="00A870F1" w:rsidRPr="00B45606">
        <w:rPr>
          <w:rFonts w:asciiTheme="majorBidi" w:hAnsiTheme="majorBidi" w:cstheme="majorBidi"/>
          <w:color w:val="000000"/>
        </w:rPr>
        <w:t xml:space="preserve"> that is quietly standing</w:t>
      </w:r>
      <w:r w:rsidR="002F1FD5" w:rsidRPr="00B45606">
        <w:rPr>
          <w:rFonts w:asciiTheme="majorBidi" w:hAnsiTheme="majorBidi" w:cstheme="majorBidi"/>
          <w:color w:val="000000"/>
        </w:rPr>
        <w:t xml:space="preserve"> </w:t>
      </w:r>
      <w:r w:rsidR="00086A15" w:rsidRPr="00B45606">
        <w:rPr>
          <w:rFonts w:asciiTheme="majorBidi" w:hAnsiTheme="majorBidi" w:cstheme="majorBidi"/>
          <w:color w:val="000000"/>
        </w:rPr>
        <w:t>in the foreground</w:t>
      </w:r>
      <w:r w:rsidR="00DD442B">
        <w:rPr>
          <w:rFonts w:asciiTheme="majorBidi" w:hAnsiTheme="majorBidi" w:cstheme="majorBidi"/>
          <w:color w:val="000000"/>
        </w:rPr>
        <w:t>,</w:t>
      </w:r>
      <w:r w:rsidR="000F7E2E">
        <w:rPr>
          <w:rFonts w:asciiTheme="majorBidi" w:hAnsiTheme="majorBidi" w:cstheme="majorBidi"/>
          <w:color w:val="000000"/>
        </w:rPr>
        <w:t xml:space="preserve"> while</w:t>
      </w:r>
      <w:r w:rsidR="00A870F1" w:rsidRPr="00B45606">
        <w:rPr>
          <w:rFonts w:asciiTheme="majorBidi" w:hAnsiTheme="majorBidi" w:cstheme="majorBidi"/>
          <w:color w:val="000000"/>
        </w:rPr>
        <w:t xml:space="preserve"> articulat</w:t>
      </w:r>
      <w:r w:rsidR="000F7E2E">
        <w:rPr>
          <w:rFonts w:asciiTheme="majorBidi" w:hAnsiTheme="majorBidi" w:cstheme="majorBidi"/>
          <w:color w:val="000000"/>
        </w:rPr>
        <w:t>ing</w:t>
      </w:r>
      <w:r w:rsidR="00A870F1" w:rsidRPr="00B45606">
        <w:rPr>
          <w:rFonts w:asciiTheme="majorBidi" w:hAnsiTheme="majorBidi" w:cstheme="majorBidi"/>
          <w:color w:val="000000"/>
        </w:rPr>
        <w:t xml:space="preserve"> </w:t>
      </w:r>
      <w:r w:rsidR="00DD442B">
        <w:rPr>
          <w:rFonts w:asciiTheme="majorBidi" w:hAnsiTheme="majorBidi" w:cstheme="majorBidi"/>
          <w:color w:val="000000"/>
        </w:rPr>
        <w:t>that party’s</w:t>
      </w:r>
      <w:r w:rsidR="00A870F1" w:rsidRPr="00B45606">
        <w:rPr>
          <w:rFonts w:asciiTheme="majorBidi" w:hAnsiTheme="majorBidi" w:cstheme="majorBidi"/>
          <w:color w:val="000000"/>
        </w:rPr>
        <w:t xml:space="preserve"> relationship to the named group</w:t>
      </w:r>
      <w:r w:rsidR="002F1FD5" w:rsidRPr="00B45606">
        <w:rPr>
          <w:rFonts w:asciiTheme="majorBidi" w:hAnsiTheme="majorBidi" w:cstheme="majorBidi"/>
          <w:color w:val="000000"/>
        </w:rPr>
        <w:t xml:space="preserve">. </w:t>
      </w:r>
      <w:r w:rsidR="00A870F1" w:rsidRPr="00B45606">
        <w:rPr>
          <w:rFonts w:asciiTheme="majorBidi" w:hAnsiTheme="majorBidi" w:cstheme="majorBidi"/>
          <w:color w:val="000000"/>
        </w:rPr>
        <w:t>Hence</w:t>
      </w:r>
      <w:r w:rsidR="00244491" w:rsidRPr="00B45606">
        <w:rPr>
          <w:rFonts w:asciiTheme="majorBidi" w:hAnsiTheme="majorBidi" w:cstheme="majorBidi"/>
          <w:color w:val="000000"/>
        </w:rPr>
        <w:t xml:space="preserve"> at Num 1.2</w:t>
      </w:r>
      <w:r w:rsidR="00144A0F" w:rsidRPr="00B45606">
        <w:rPr>
          <w:rFonts w:asciiTheme="majorBidi" w:hAnsiTheme="majorBidi" w:cstheme="majorBidi"/>
          <w:color w:val="000000"/>
        </w:rPr>
        <w:t>, the note</w:t>
      </w:r>
      <w:r w:rsidR="00086A15" w:rsidRPr="00B45606">
        <w:rPr>
          <w:rFonts w:asciiTheme="majorBidi" w:hAnsiTheme="majorBidi" w:cstheme="majorBidi"/>
          <w:color w:val="000000"/>
        </w:rPr>
        <w:t xml:space="preserve"> on </w:t>
      </w:r>
      <w:r w:rsidR="000E2D74" w:rsidRPr="00B45606">
        <w:rPr>
          <w:rFonts w:asciiTheme="majorBidi" w:hAnsiTheme="majorBidi" w:cstheme="majorBidi"/>
          <w:color w:val="000000"/>
        </w:rPr>
        <w:t>“</w:t>
      </w:r>
      <w:r w:rsidR="00086A15" w:rsidRPr="00B45606">
        <w:rPr>
          <w:rFonts w:asciiTheme="majorBidi" w:hAnsiTheme="majorBidi" w:cstheme="majorBidi"/>
          <w:color w:val="000000"/>
        </w:rPr>
        <w:t>the whole Israelite community</w:t>
      </w:r>
      <w:r w:rsidR="000E2D74" w:rsidRPr="00B45606">
        <w:rPr>
          <w:rFonts w:asciiTheme="majorBidi" w:hAnsiTheme="majorBidi" w:cstheme="majorBidi"/>
          <w:color w:val="000000"/>
        </w:rPr>
        <w:t>”</w:t>
      </w:r>
      <w:r w:rsidR="00144A0F" w:rsidRPr="00B45606">
        <w:rPr>
          <w:rFonts w:asciiTheme="majorBidi" w:hAnsiTheme="majorBidi" w:cstheme="majorBidi"/>
          <w:color w:val="000000"/>
        </w:rPr>
        <w:t xml:space="preserve"> reads</w:t>
      </w:r>
      <w:r w:rsidR="007E4393" w:rsidRPr="00B45606">
        <w:rPr>
          <w:rFonts w:asciiTheme="majorBidi" w:hAnsiTheme="majorBidi" w:cstheme="majorBidi"/>
          <w:color w:val="000000"/>
        </w:rPr>
        <w:t>: “I.e., those eligible to be fighters on the community’s behalf.”</w:t>
      </w:r>
      <w:r w:rsidR="00E7771C">
        <w:rPr>
          <w:rFonts w:asciiTheme="majorBidi" w:hAnsiTheme="majorBidi" w:cstheme="majorBidi"/>
          <w:color w:val="000000"/>
        </w:rPr>
        <w:t xml:space="preserve"> This approach conveys the </w:t>
      </w:r>
      <w:r w:rsidR="00A03A70">
        <w:rPr>
          <w:rFonts w:asciiTheme="majorBidi" w:hAnsiTheme="majorBidi" w:cstheme="majorBidi"/>
          <w:color w:val="000000"/>
        </w:rPr>
        <w:t>heft</w:t>
      </w:r>
      <w:r w:rsidR="00E7771C">
        <w:rPr>
          <w:rFonts w:asciiTheme="majorBidi" w:hAnsiTheme="majorBidi" w:cstheme="majorBidi"/>
          <w:color w:val="000000"/>
        </w:rPr>
        <w:t xml:space="preserve"> of Hebrew metonym</w:t>
      </w:r>
      <w:r>
        <w:rPr>
          <w:rFonts w:asciiTheme="majorBidi" w:hAnsiTheme="majorBidi" w:cstheme="majorBidi"/>
          <w:color w:val="000000"/>
        </w:rPr>
        <w:t>s</w:t>
      </w:r>
      <w:r w:rsidR="00E7771C">
        <w:rPr>
          <w:rFonts w:asciiTheme="majorBidi" w:hAnsiTheme="majorBidi" w:cstheme="majorBidi"/>
          <w:color w:val="000000"/>
        </w:rPr>
        <w:t xml:space="preserve"> while addressing the gender discord that </w:t>
      </w:r>
      <w:r>
        <w:rPr>
          <w:rFonts w:asciiTheme="majorBidi" w:hAnsiTheme="majorBidi" w:cstheme="majorBidi"/>
          <w:color w:val="000000"/>
        </w:rPr>
        <w:t>they</w:t>
      </w:r>
      <w:r w:rsidR="00E7771C">
        <w:rPr>
          <w:rFonts w:asciiTheme="majorBidi" w:hAnsiTheme="majorBidi" w:cstheme="majorBidi"/>
          <w:color w:val="000000"/>
        </w:rPr>
        <w:t xml:space="preserve"> sometimes create.</w:t>
      </w:r>
      <w:r w:rsidR="00457776">
        <w:rPr>
          <w:rStyle w:val="FootnoteReference"/>
          <w:rFonts w:asciiTheme="majorBidi" w:hAnsiTheme="majorBidi" w:cstheme="majorBidi"/>
          <w:color w:val="000000"/>
        </w:rPr>
        <w:footnoteReference w:id="6"/>
      </w:r>
      <w:r w:rsidR="007E4393" w:rsidRPr="00B45606">
        <w:rPr>
          <w:rFonts w:asciiTheme="majorBidi" w:hAnsiTheme="majorBidi" w:cstheme="majorBidi"/>
          <w:color w:val="000000"/>
        </w:rPr>
        <w:t xml:space="preserve"> </w:t>
      </w:r>
    </w:p>
    <w:p w14:paraId="512A00D8" w14:textId="77777777" w:rsidR="00120C4E" w:rsidRPr="00B45606" w:rsidRDefault="00120C4E" w:rsidP="00120C4E">
      <w:pPr>
        <w:pStyle w:val="StandardFL"/>
        <w:rPr>
          <w:lang w:bidi="he-IL"/>
        </w:rPr>
      </w:pPr>
    </w:p>
    <w:p w14:paraId="3526CBC4" w14:textId="4E29DF2F" w:rsidR="000E6B87" w:rsidRPr="00B45606" w:rsidRDefault="00CF4719" w:rsidP="00F3633F">
      <w:pPr>
        <w:pStyle w:val="Heading3"/>
      </w:pPr>
      <w:r>
        <w:t xml:space="preserve">Employing </w:t>
      </w:r>
      <w:r w:rsidR="00127CE3" w:rsidRPr="00CF4719">
        <w:rPr>
          <w:i/>
          <w:iCs/>
        </w:rPr>
        <w:t>They</w:t>
      </w:r>
      <w:r>
        <w:t xml:space="preserve"> as a Singular Pronoun</w:t>
      </w:r>
    </w:p>
    <w:p w14:paraId="535C8063" w14:textId="73B2CA8B" w:rsidR="00325DE6" w:rsidRDefault="00FA044C" w:rsidP="00EC4FDE">
      <w:pPr>
        <w:pStyle w:val="StandardFL"/>
        <w:rPr>
          <w:rFonts w:asciiTheme="majorBidi" w:hAnsiTheme="majorBidi" w:cstheme="majorBidi"/>
          <w:color w:val="000000"/>
        </w:rPr>
      </w:pPr>
      <w:r w:rsidRPr="00B45606">
        <w:t>As noted</w:t>
      </w:r>
      <w:r w:rsidR="001C5364" w:rsidRPr="00B45606">
        <w:t xml:space="preserve"> in the Preface,</w:t>
      </w:r>
      <w:r w:rsidRPr="00B45606">
        <w:t xml:space="preserve"> one</w:t>
      </w:r>
      <w:r w:rsidR="000C6C09" w:rsidRPr="00B45606">
        <w:t xml:space="preserve"> significant </w:t>
      </w:r>
      <w:r w:rsidR="00FA4EAF" w:rsidRPr="00B45606">
        <w:t>shift</w:t>
      </w:r>
      <w:r w:rsidR="000C6C09" w:rsidRPr="00B45606">
        <w:t xml:space="preserve"> in English is the intensified </w:t>
      </w:r>
      <w:r w:rsidR="00FD1882" w:rsidRPr="00B45606">
        <w:t xml:space="preserve">evocation of </w:t>
      </w:r>
      <w:r w:rsidR="000C6C09" w:rsidRPr="00B45606">
        <w:t xml:space="preserve">gender </w:t>
      </w:r>
      <w:r w:rsidR="001325F9" w:rsidRPr="00B45606">
        <w:t>by</w:t>
      </w:r>
      <w:r w:rsidR="000C6C09" w:rsidRPr="00B45606">
        <w:t xml:space="preserve"> </w:t>
      </w:r>
      <w:r w:rsidR="001C5364" w:rsidRPr="00B45606">
        <w:t xml:space="preserve">the grammatically masculine pronouns </w:t>
      </w:r>
      <w:r w:rsidR="001C5364" w:rsidRPr="00B45606">
        <w:rPr>
          <w:i/>
          <w:iCs/>
        </w:rPr>
        <w:t>he/hi</w:t>
      </w:r>
      <w:r w:rsidR="00566EBE">
        <w:rPr>
          <w:i/>
          <w:iCs/>
        </w:rPr>
        <w:t>m</w:t>
      </w:r>
      <w:r w:rsidR="001C5364" w:rsidRPr="00B45606">
        <w:rPr>
          <w:i/>
          <w:iCs/>
        </w:rPr>
        <w:t>/hi</w:t>
      </w:r>
      <w:r w:rsidR="00566EBE">
        <w:rPr>
          <w:i/>
          <w:iCs/>
        </w:rPr>
        <w:t>s</w:t>
      </w:r>
      <w:r w:rsidR="001C5364" w:rsidRPr="00B45606">
        <w:rPr>
          <w:i/>
          <w:iCs/>
        </w:rPr>
        <w:t>/himself</w:t>
      </w:r>
      <w:r w:rsidR="000C6C09" w:rsidRPr="00B45606">
        <w:t xml:space="preserve">. </w:t>
      </w:r>
      <w:r w:rsidR="00127CE3" w:rsidRPr="00B45606">
        <w:rPr>
          <w:rFonts w:asciiTheme="majorBidi" w:hAnsiTheme="majorBidi" w:cstheme="majorBidi"/>
          <w:color w:val="000000"/>
        </w:rPr>
        <w:t>I</w:t>
      </w:r>
      <w:r w:rsidR="00EC4FDE" w:rsidRPr="00B45606">
        <w:rPr>
          <w:rFonts w:asciiTheme="majorBidi" w:hAnsiTheme="majorBidi" w:cstheme="majorBidi"/>
          <w:color w:val="000000"/>
        </w:rPr>
        <w:t>n recent</w:t>
      </w:r>
      <w:r w:rsidR="004344DB" w:rsidRPr="00B45606">
        <w:rPr>
          <w:rFonts w:asciiTheme="majorBidi" w:hAnsiTheme="majorBidi" w:cstheme="majorBidi"/>
          <w:color w:val="000000"/>
        </w:rPr>
        <w:t xml:space="preserve"> </w:t>
      </w:r>
      <w:r w:rsidR="00ED63EE" w:rsidRPr="00B45606">
        <w:rPr>
          <w:rFonts w:asciiTheme="majorBidi" w:hAnsiTheme="majorBidi" w:cstheme="majorBidi"/>
          <w:color w:val="000000"/>
        </w:rPr>
        <w:t>decades</w:t>
      </w:r>
      <w:r w:rsidR="00127CE3" w:rsidRPr="00B45606">
        <w:rPr>
          <w:rFonts w:asciiTheme="majorBidi" w:hAnsiTheme="majorBidi" w:cstheme="majorBidi"/>
          <w:color w:val="000000"/>
        </w:rPr>
        <w:t>,</w:t>
      </w:r>
      <w:r w:rsidR="00ED63EE" w:rsidRPr="00B45606">
        <w:rPr>
          <w:rFonts w:asciiTheme="majorBidi" w:hAnsiTheme="majorBidi" w:cstheme="majorBidi"/>
          <w:color w:val="000000"/>
        </w:rPr>
        <w:t xml:space="preserve"> English</w:t>
      </w:r>
      <w:r w:rsidR="004344DB" w:rsidRPr="00B45606">
        <w:rPr>
          <w:rFonts w:asciiTheme="majorBidi" w:hAnsiTheme="majorBidi" w:cstheme="majorBidi"/>
          <w:color w:val="000000"/>
        </w:rPr>
        <w:t xml:space="preserve"> </w:t>
      </w:r>
      <w:r w:rsidR="00EC4FDE" w:rsidRPr="00B45606">
        <w:rPr>
          <w:rFonts w:asciiTheme="majorBidi" w:hAnsiTheme="majorBidi" w:cstheme="majorBidi"/>
          <w:color w:val="000000"/>
        </w:rPr>
        <w:t>speakers</w:t>
      </w:r>
      <w:r w:rsidR="00127CE3" w:rsidRPr="00B45606">
        <w:rPr>
          <w:rFonts w:asciiTheme="majorBidi" w:hAnsiTheme="majorBidi" w:cstheme="majorBidi"/>
          <w:color w:val="000000"/>
        </w:rPr>
        <w:t xml:space="preserve"> have </w:t>
      </w:r>
      <w:r w:rsidR="004638A2">
        <w:rPr>
          <w:rFonts w:asciiTheme="majorBidi" w:hAnsiTheme="majorBidi" w:cstheme="majorBidi"/>
          <w:color w:val="000000"/>
        </w:rPr>
        <w:t xml:space="preserve">increasingly </w:t>
      </w:r>
      <w:r w:rsidR="00127CE3" w:rsidRPr="00B45606">
        <w:rPr>
          <w:rFonts w:asciiTheme="majorBidi" w:hAnsiTheme="majorBidi" w:cstheme="majorBidi"/>
          <w:color w:val="000000"/>
        </w:rPr>
        <w:t>compensated for this development</w:t>
      </w:r>
      <w:r w:rsidR="00D82B1E">
        <w:rPr>
          <w:rFonts w:asciiTheme="majorBidi" w:hAnsiTheme="majorBidi" w:cstheme="majorBidi"/>
          <w:color w:val="000000"/>
        </w:rPr>
        <w:t xml:space="preserve"> in part</w:t>
      </w:r>
      <w:r w:rsidR="00127CE3" w:rsidRPr="00B45606">
        <w:rPr>
          <w:rFonts w:asciiTheme="majorBidi" w:hAnsiTheme="majorBidi" w:cstheme="majorBidi"/>
          <w:color w:val="000000"/>
        </w:rPr>
        <w:t xml:space="preserve"> </w:t>
      </w:r>
      <w:r w:rsidR="004638A2">
        <w:rPr>
          <w:rFonts w:asciiTheme="majorBidi" w:hAnsiTheme="majorBidi" w:cstheme="majorBidi"/>
          <w:color w:val="000000"/>
        </w:rPr>
        <w:t>by drafting</w:t>
      </w:r>
      <w:r w:rsidR="00566EBE">
        <w:rPr>
          <w:rFonts w:asciiTheme="majorBidi" w:hAnsiTheme="majorBidi" w:cstheme="majorBidi"/>
          <w:color w:val="000000"/>
        </w:rPr>
        <w:t xml:space="preserve"> plural pronouns</w:t>
      </w:r>
      <w:r w:rsidR="004344DB" w:rsidRPr="00B45606">
        <w:rPr>
          <w:rFonts w:asciiTheme="majorBidi" w:hAnsiTheme="majorBidi" w:cstheme="majorBidi"/>
          <w:color w:val="000000"/>
        </w:rPr>
        <w:t xml:space="preserve"> </w:t>
      </w:r>
      <w:r w:rsidR="004126CB">
        <w:rPr>
          <w:rFonts w:asciiTheme="majorBidi" w:hAnsiTheme="majorBidi" w:cstheme="majorBidi"/>
          <w:color w:val="000000"/>
        </w:rPr>
        <w:t xml:space="preserve">to function </w:t>
      </w:r>
      <w:r w:rsidR="004344DB" w:rsidRPr="00B45606">
        <w:rPr>
          <w:rFonts w:asciiTheme="majorBidi" w:hAnsiTheme="majorBidi" w:cstheme="majorBidi"/>
          <w:color w:val="000000"/>
        </w:rPr>
        <w:t xml:space="preserve">as </w:t>
      </w:r>
      <w:r w:rsidR="00395389" w:rsidRPr="00B45606">
        <w:rPr>
          <w:rFonts w:asciiTheme="majorBidi" w:hAnsiTheme="majorBidi" w:cstheme="majorBidi"/>
          <w:color w:val="000000"/>
        </w:rPr>
        <w:t>non-gendered</w:t>
      </w:r>
      <w:r w:rsidR="004344DB" w:rsidRPr="00B45606">
        <w:rPr>
          <w:rFonts w:asciiTheme="majorBidi" w:hAnsiTheme="majorBidi" w:cstheme="majorBidi"/>
          <w:color w:val="000000"/>
        </w:rPr>
        <w:t xml:space="preserve"> singular </w:t>
      </w:r>
      <w:r w:rsidR="00566EBE">
        <w:rPr>
          <w:rFonts w:asciiTheme="majorBidi" w:hAnsiTheme="majorBidi" w:cstheme="majorBidi"/>
          <w:color w:val="000000"/>
        </w:rPr>
        <w:t>ones</w:t>
      </w:r>
      <w:r w:rsidRPr="00B45606">
        <w:rPr>
          <w:rFonts w:asciiTheme="majorBidi" w:hAnsiTheme="majorBidi" w:cstheme="majorBidi"/>
          <w:color w:val="000000"/>
        </w:rPr>
        <w:t xml:space="preserve">. </w:t>
      </w:r>
      <w:r w:rsidR="00ED63EE" w:rsidRPr="00B45606">
        <w:rPr>
          <w:rFonts w:asciiTheme="majorBidi" w:hAnsiTheme="majorBidi" w:cstheme="majorBidi"/>
          <w:color w:val="000000"/>
        </w:rPr>
        <w:t>S</w:t>
      </w:r>
      <w:r w:rsidRPr="00B45606">
        <w:rPr>
          <w:rFonts w:asciiTheme="majorBidi" w:hAnsiTheme="majorBidi" w:cstheme="majorBidi"/>
          <w:color w:val="000000"/>
        </w:rPr>
        <w:t xml:space="preserve">uch usage </w:t>
      </w:r>
      <w:r w:rsidR="004344DB" w:rsidRPr="00B45606">
        <w:rPr>
          <w:rFonts w:asciiTheme="majorBidi" w:hAnsiTheme="majorBidi" w:cstheme="majorBidi"/>
          <w:color w:val="000000"/>
        </w:rPr>
        <w:t xml:space="preserve">has become </w:t>
      </w:r>
      <w:r w:rsidRPr="00B45606">
        <w:rPr>
          <w:rFonts w:asciiTheme="majorBidi" w:hAnsiTheme="majorBidi" w:cstheme="majorBidi"/>
          <w:color w:val="000000"/>
        </w:rPr>
        <w:t>commonplace</w:t>
      </w:r>
      <w:r w:rsidR="00ED63EE" w:rsidRPr="00B45606">
        <w:rPr>
          <w:rFonts w:asciiTheme="majorBidi" w:hAnsiTheme="majorBidi" w:cstheme="majorBidi"/>
          <w:color w:val="000000"/>
        </w:rPr>
        <w:t>, especially when the antecedent</w:t>
      </w:r>
      <w:r w:rsidR="00EA5706">
        <w:rPr>
          <w:rFonts w:asciiTheme="majorBidi" w:hAnsiTheme="majorBidi" w:cstheme="majorBidi"/>
          <w:color w:val="000000"/>
        </w:rPr>
        <w:t xml:space="preserve"> term</w:t>
      </w:r>
      <w:r w:rsidR="00ED63EE" w:rsidRPr="00B45606">
        <w:rPr>
          <w:rFonts w:asciiTheme="majorBidi" w:hAnsiTheme="majorBidi" w:cstheme="majorBidi"/>
          <w:color w:val="000000"/>
        </w:rPr>
        <w:t xml:space="preserve"> is an indefinite pronoun</w:t>
      </w:r>
      <w:r w:rsidR="00FA4EAF" w:rsidRPr="00B45606">
        <w:rPr>
          <w:rFonts w:asciiTheme="majorBidi" w:hAnsiTheme="majorBidi" w:cstheme="majorBidi"/>
          <w:color w:val="000000"/>
        </w:rPr>
        <w:t xml:space="preserve"> (e.g., </w:t>
      </w:r>
      <w:r w:rsidR="00FA4EAF" w:rsidRPr="00B45606">
        <w:rPr>
          <w:rFonts w:asciiTheme="majorBidi" w:hAnsiTheme="majorBidi" w:cstheme="majorBidi"/>
          <w:i/>
          <w:iCs/>
          <w:color w:val="000000"/>
        </w:rPr>
        <w:t>anyone</w:t>
      </w:r>
      <w:r w:rsidR="00FA4EAF" w:rsidRPr="00B45606">
        <w:rPr>
          <w:rFonts w:asciiTheme="majorBidi" w:hAnsiTheme="majorBidi" w:cstheme="majorBidi"/>
          <w:color w:val="000000"/>
        </w:rPr>
        <w:t xml:space="preserve"> or</w:t>
      </w:r>
      <w:r w:rsidR="00FA4EAF" w:rsidRPr="00B45606">
        <w:rPr>
          <w:rFonts w:asciiTheme="majorBidi" w:hAnsiTheme="majorBidi" w:cstheme="majorBidi"/>
          <w:i/>
          <w:iCs/>
          <w:color w:val="000000"/>
        </w:rPr>
        <w:t xml:space="preserve"> someone</w:t>
      </w:r>
      <w:r w:rsidR="00FA4EAF" w:rsidRPr="00B45606">
        <w:rPr>
          <w:rFonts w:asciiTheme="majorBidi" w:hAnsiTheme="majorBidi" w:cstheme="majorBidi"/>
          <w:color w:val="000000"/>
        </w:rPr>
        <w:t>)</w:t>
      </w:r>
      <w:r w:rsidR="00127CE3" w:rsidRPr="00B45606">
        <w:rPr>
          <w:rFonts w:asciiTheme="majorBidi" w:hAnsiTheme="majorBidi" w:cstheme="majorBidi"/>
          <w:color w:val="000000"/>
        </w:rPr>
        <w:t xml:space="preserve"> or </w:t>
      </w:r>
      <w:r w:rsidR="00FA4EAF" w:rsidRPr="00B45606">
        <w:rPr>
          <w:rFonts w:asciiTheme="majorBidi" w:hAnsiTheme="majorBidi" w:cstheme="majorBidi"/>
          <w:color w:val="000000"/>
        </w:rPr>
        <w:t>the</w:t>
      </w:r>
      <w:r w:rsidR="00127CE3" w:rsidRPr="00B45606">
        <w:rPr>
          <w:rFonts w:asciiTheme="majorBidi" w:hAnsiTheme="majorBidi" w:cstheme="majorBidi"/>
          <w:color w:val="000000"/>
        </w:rPr>
        <w:t xml:space="preserve"> generic</w:t>
      </w:r>
      <w:r w:rsidR="00FA4EAF" w:rsidRPr="00B45606">
        <w:rPr>
          <w:rFonts w:asciiTheme="majorBidi" w:hAnsiTheme="majorBidi" w:cstheme="majorBidi"/>
          <w:color w:val="000000"/>
        </w:rPr>
        <w:t xml:space="preserve"> </w:t>
      </w:r>
      <w:r w:rsidR="00EA5706">
        <w:rPr>
          <w:rFonts w:asciiTheme="majorBidi" w:hAnsiTheme="majorBidi" w:cstheme="majorBidi"/>
          <w:color w:val="000000"/>
        </w:rPr>
        <w:t>noun</w:t>
      </w:r>
      <w:r w:rsidR="00127CE3" w:rsidRPr="00B45606">
        <w:rPr>
          <w:rFonts w:asciiTheme="majorBidi" w:hAnsiTheme="majorBidi" w:cstheme="majorBidi"/>
          <w:color w:val="000000"/>
        </w:rPr>
        <w:t xml:space="preserve"> </w:t>
      </w:r>
      <w:r w:rsidR="00127CE3" w:rsidRPr="00B45606">
        <w:rPr>
          <w:rFonts w:asciiTheme="majorBidi" w:hAnsiTheme="majorBidi" w:cstheme="majorBidi"/>
          <w:i/>
          <w:iCs/>
          <w:color w:val="000000"/>
        </w:rPr>
        <w:t>person</w:t>
      </w:r>
      <w:r w:rsidR="004344DB" w:rsidRPr="00B45606">
        <w:rPr>
          <w:rFonts w:asciiTheme="majorBidi" w:hAnsiTheme="majorBidi" w:cstheme="majorBidi"/>
          <w:color w:val="000000"/>
        </w:rPr>
        <w:t>.</w:t>
      </w:r>
      <w:r w:rsidR="00ED5385" w:rsidRPr="00B45606">
        <w:rPr>
          <w:rStyle w:val="FootnoteReference"/>
          <w:rFonts w:asciiTheme="majorBidi" w:hAnsiTheme="majorBidi" w:cstheme="majorBidi"/>
          <w:color w:val="000000"/>
        </w:rPr>
        <w:footnoteReference w:id="7"/>
      </w:r>
      <w:r w:rsidR="00ED5385" w:rsidRPr="00B45606">
        <w:rPr>
          <w:rFonts w:asciiTheme="majorBidi" w:hAnsiTheme="majorBidi" w:cstheme="majorBidi"/>
          <w:color w:val="000000"/>
        </w:rPr>
        <w:t xml:space="preserve"> </w:t>
      </w:r>
      <w:r w:rsidR="004638A2">
        <w:rPr>
          <w:rFonts w:asciiTheme="majorBidi" w:hAnsiTheme="majorBidi" w:cstheme="majorBidi"/>
          <w:color w:val="000000"/>
        </w:rPr>
        <w:t>G</w:t>
      </w:r>
      <w:r w:rsidR="00374614">
        <w:rPr>
          <w:rFonts w:asciiTheme="majorBidi" w:hAnsiTheme="majorBidi" w:cstheme="majorBidi"/>
          <w:color w:val="000000"/>
        </w:rPr>
        <w:t>iven the formality of</w:t>
      </w:r>
      <w:r w:rsidR="00C90587">
        <w:rPr>
          <w:rFonts w:asciiTheme="majorBidi" w:hAnsiTheme="majorBidi" w:cstheme="majorBidi"/>
          <w:color w:val="000000"/>
        </w:rPr>
        <w:t xml:space="preserve"> the</w:t>
      </w:r>
      <w:r w:rsidR="00374614">
        <w:rPr>
          <w:rFonts w:asciiTheme="majorBidi" w:hAnsiTheme="majorBidi" w:cstheme="majorBidi"/>
          <w:color w:val="000000"/>
        </w:rPr>
        <w:t xml:space="preserve"> diction in NJPS</w:t>
      </w:r>
      <w:r w:rsidR="00D82B1E">
        <w:rPr>
          <w:rFonts w:asciiTheme="majorBidi" w:hAnsiTheme="majorBidi" w:cstheme="majorBidi"/>
          <w:color w:val="000000"/>
        </w:rPr>
        <w:t>,</w:t>
      </w:r>
      <w:r w:rsidR="00D82B1E" w:rsidRPr="00B45606">
        <w:rPr>
          <w:rFonts w:asciiTheme="majorBidi" w:hAnsiTheme="majorBidi" w:cstheme="majorBidi"/>
          <w:color w:val="000000"/>
        </w:rPr>
        <w:t xml:space="preserve"> </w:t>
      </w:r>
      <w:r w:rsidR="00D82B1E">
        <w:rPr>
          <w:rFonts w:asciiTheme="majorBidi" w:hAnsiTheme="majorBidi" w:cstheme="majorBidi"/>
          <w:color w:val="000000"/>
        </w:rPr>
        <w:t>t</w:t>
      </w:r>
      <w:r w:rsidR="00025D8D" w:rsidRPr="00B45606">
        <w:rPr>
          <w:rFonts w:asciiTheme="majorBidi" w:hAnsiTheme="majorBidi" w:cstheme="majorBidi"/>
          <w:color w:val="000000"/>
        </w:rPr>
        <w:t>he present revision</w:t>
      </w:r>
      <w:r w:rsidR="00FA4EAF" w:rsidRPr="00B45606">
        <w:rPr>
          <w:rFonts w:asciiTheme="majorBidi" w:hAnsiTheme="majorBidi" w:cstheme="majorBidi"/>
          <w:color w:val="000000"/>
        </w:rPr>
        <w:t xml:space="preserve"> </w:t>
      </w:r>
      <w:r w:rsidR="00C90587">
        <w:rPr>
          <w:rFonts w:asciiTheme="majorBidi" w:hAnsiTheme="majorBidi" w:cstheme="majorBidi"/>
          <w:color w:val="000000"/>
        </w:rPr>
        <w:t xml:space="preserve">has </w:t>
      </w:r>
      <w:r w:rsidR="00FA4EAF" w:rsidRPr="00B45606">
        <w:rPr>
          <w:rFonts w:asciiTheme="majorBidi" w:hAnsiTheme="majorBidi" w:cstheme="majorBidi"/>
          <w:color w:val="000000"/>
        </w:rPr>
        <w:t>employ</w:t>
      </w:r>
      <w:r w:rsidR="00C90587">
        <w:rPr>
          <w:rFonts w:asciiTheme="majorBidi" w:hAnsiTheme="majorBidi" w:cstheme="majorBidi"/>
          <w:color w:val="000000"/>
        </w:rPr>
        <w:t>ed</w:t>
      </w:r>
      <w:r w:rsidR="00FA4EAF" w:rsidRPr="00B45606">
        <w:rPr>
          <w:rFonts w:asciiTheme="majorBidi" w:hAnsiTheme="majorBidi" w:cstheme="majorBidi"/>
          <w:color w:val="000000"/>
        </w:rPr>
        <w:t xml:space="preserve"> </w:t>
      </w:r>
      <w:r w:rsidR="00CF4719">
        <w:rPr>
          <w:rFonts w:asciiTheme="majorBidi" w:hAnsiTheme="majorBidi" w:cstheme="majorBidi"/>
          <w:color w:val="000000"/>
        </w:rPr>
        <w:t>this</w:t>
      </w:r>
      <w:r w:rsidR="00C7764C" w:rsidRPr="00B45606">
        <w:rPr>
          <w:rFonts w:asciiTheme="majorBidi" w:hAnsiTheme="majorBidi" w:cstheme="majorBidi"/>
          <w:color w:val="000000"/>
        </w:rPr>
        <w:t xml:space="preserve"> kind of </w:t>
      </w:r>
      <w:r w:rsidR="00127CE3" w:rsidRPr="00B45606">
        <w:rPr>
          <w:rFonts w:asciiTheme="majorBidi" w:hAnsiTheme="majorBidi" w:cstheme="majorBidi"/>
          <w:color w:val="000000"/>
        </w:rPr>
        <w:t>usage</w:t>
      </w:r>
      <w:r w:rsidR="00F07842">
        <w:rPr>
          <w:rFonts w:asciiTheme="majorBidi" w:hAnsiTheme="majorBidi" w:cstheme="majorBidi"/>
          <w:color w:val="000000"/>
        </w:rPr>
        <w:t xml:space="preserve"> </w:t>
      </w:r>
      <w:r w:rsidR="00305723">
        <w:rPr>
          <w:rFonts w:asciiTheme="majorBidi" w:hAnsiTheme="majorBidi" w:cstheme="majorBidi"/>
          <w:color w:val="000000"/>
        </w:rPr>
        <w:t>sparingly</w:t>
      </w:r>
      <w:r w:rsidR="004638A2">
        <w:rPr>
          <w:rFonts w:asciiTheme="majorBidi" w:hAnsiTheme="majorBidi" w:cstheme="majorBidi"/>
          <w:color w:val="000000"/>
        </w:rPr>
        <w:t>.</w:t>
      </w:r>
      <w:r w:rsidR="00F07842">
        <w:rPr>
          <w:rFonts w:asciiTheme="majorBidi" w:hAnsiTheme="majorBidi" w:cstheme="majorBidi"/>
          <w:color w:val="000000"/>
        </w:rPr>
        <w:t xml:space="preserve"> </w:t>
      </w:r>
      <w:r w:rsidR="004638A2">
        <w:rPr>
          <w:rFonts w:asciiTheme="majorBidi" w:hAnsiTheme="majorBidi" w:cstheme="majorBidi"/>
          <w:color w:val="000000"/>
        </w:rPr>
        <w:t>N</w:t>
      </w:r>
      <w:r w:rsidR="00EA5706">
        <w:rPr>
          <w:rFonts w:asciiTheme="majorBidi" w:hAnsiTheme="majorBidi" w:cstheme="majorBidi"/>
          <w:color w:val="000000"/>
        </w:rPr>
        <w:t>onetheless</w:t>
      </w:r>
      <w:r w:rsidR="004638A2">
        <w:rPr>
          <w:rFonts w:asciiTheme="majorBidi" w:hAnsiTheme="majorBidi" w:cstheme="majorBidi"/>
          <w:color w:val="000000"/>
        </w:rPr>
        <w:t xml:space="preserve"> it</w:t>
      </w:r>
      <w:r w:rsidR="00EA5706">
        <w:rPr>
          <w:rFonts w:asciiTheme="majorBidi" w:hAnsiTheme="majorBidi" w:cstheme="majorBidi"/>
          <w:color w:val="000000"/>
        </w:rPr>
        <w:t xml:space="preserve"> </w:t>
      </w:r>
      <w:r w:rsidR="00CF4719">
        <w:rPr>
          <w:rFonts w:asciiTheme="majorBidi" w:hAnsiTheme="majorBidi" w:cstheme="majorBidi"/>
          <w:color w:val="000000"/>
        </w:rPr>
        <w:t>appears</w:t>
      </w:r>
      <w:r w:rsidR="009A7420">
        <w:rPr>
          <w:rFonts w:asciiTheme="majorBidi" w:hAnsiTheme="majorBidi" w:cstheme="majorBidi"/>
          <w:color w:val="000000"/>
        </w:rPr>
        <w:t xml:space="preserve"> </w:t>
      </w:r>
      <w:r w:rsidR="005A0562">
        <w:rPr>
          <w:rFonts w:asciiTheme="majorBidi" w:hAnsiTheme="majorBidi" w:cstheme="majorBidi"/>
          <w:color w:val="000000"/>
        </w:rPr>
        <w:t>more often in RJP</w:t>
      </w:r>
      <w:r w:rsidR="009A7420">
        <w:rPr>
          <w:rFonts w:asciiTheme="majorBidi" w:hAnsiTheme="majorBidi" w:cstheme="majorBidi"/>
          <w:color w:val="000000"/>
        </w:rPr>
        <w:t xml:space="preserve">S than </w:t>
      </w:r>
      <w:r w:rsidR="002D5C14">
        <w:rPr>
          <w:rFonts w:asciiTheme="majorBidi" w:hAnsiTheme="majorBidi" w:cstheme="majorBidi"/>
          <w:color w:val="000000"/>
        </w:rPr>
        <w:t xml:space="preserve">in </w:t>
      </w:r>
      <w:r w:rsidR="00C90587">
        <w:rPr>
          <w:rFonts w:asciiTheme="majorBidi" w:hAnsiTheme="majorBidi" w:cstheme="majorBidi"/>
          <w:color w:val="000000"/>
        </w:rPr>
        <w:t xml:space="preserve">its predecessors </w:t>
      </w:r>
      <w:r w:rsidR="002D5C14">
        <w:rPr>
          <w:rFonts w:asciiTheme="majorBidi" w:hAnsiTheme="majorBidi" w:cstheme="majorBidi"/>
          <w:color w:val="000000"/>
        </w:rPr>
        <w:t>NJPS</w:t>
      </w:r>
      <w:r w:rsidR="007F0F25">
        <w:rPr>
          <w:rFonts w:asciiTheme="majorBidi" w:hAnsiTheme="majorBidi" w:cstheme="majorBidi"/>
          <w:color w:val="000000"/>
        </w:rPr>
        <w:t xml:space="preserve"> </w:t>
      </w:r>
      <w:r w:rsidR="00C90587">
        <w:rPr>
          <w:rFonts w:asciiTheme="majorBidi" w:hAnsiTheme="majorBidi" w:cstheme="majorBidi"/>
          <w:color w:val="000000"/>
        </w:rPr>
        <w:t>and</w:t>
      </w:r>
      <w:r w:rsidR="003A55E0">
        <w:rPr>
          <w:rFonts w:asciiTheme="majorBidi" w:hAnsiTheme="majorBidi" w:cstheme="majorBidi"/>
          <w:color w:val="000000"/>
        </w:rPr>
        <w:t xml:space="preserve"> CJPS</w:t>
      </w:r>
      <w:r w:rsidR="005A0562">
        <w:rPr>
          <w:rFonts w:asciiTheme="majorBidi" w:hAnsiTheme="majorBidi" w:cstheme="majorBidi"/>
          <w:color w:val="000000"/>
        </w:rPr>
        <w:t>.</w:t>
      </w:r>
      <w:r w:rsidR="00325DE6">
        <w:rPr>
          <w:rFonts w:asciiTheme="majorBidi" w:hAnsiTheme="majorBidi" w:cstheme="majorBidi"/>
          <w:color w:val="000000"/>
        </w:rPr>
        <w:t xml:space="preserve"> For example, Leviticus</w:t>
      </w:r>
      <w:r w:rsidR="00016F6E">
        <w:rPr>
          <w:rFonts w:asciiTheme="majorBidi" w:hAnsiTheme="majorBidi" w:cstheme="majorBidi"/>
          <w:color w:val="000000"/>
        </w:rPr>
        <w:t xml:space="preserve"> 27</w:t>
      </w:r>
      <w:r w:rsidR="00325DE6">
        <w:rPr>
          <w:rFonts w:asciiTheme="majorBidi" w:hAnsiTheme="majorBidi" w:cstheme="majorBidi"/>
          <w:color w:val="000000"/>
        </w:rPr>
        <w:t xml:space="preserve"> discusses </w:t>
      </w:r>
      <w:r w:rsidR="00EA5706">
        <w:rPr>
          <w:rFonts w:asciiTheme="majorBidi" w:hAnsiTheme="majorBidi" w:cstheme="majorBidi"/>
          <w:color w:val="000000"/>
        </w:rPr>
        <w:t xml:space="preserve">how to </w:t>
      </w:r>
      <w:r w:rsidR="00F24B7B">
        <w:rPr>
          <w:rFonts w:asciiTheme="majorBidi" w:hAnsiTheme="majorBidi" w:cstheme="majorBidi"/>
          <w:color w:val="000000"/>
        </w:rPr>
        <w:t>vow to God the equivalent in silver of a person</w:t>
      </w:r>
      <w:r w:rsidR="008F25A6">
        <w:rPr>
          <w:rFonts w:asciiTheme="majorBidi" w:hAnsiTheme="majorBidi" w:cstheme="majorBidi"/>
          <w:color w:val="000000"/>
        </w:rPr>
        <w:t>; in</w:t>
      </w:r>
      <w:r w:rsidR="009A7420">
        <w:rPr>
          <w:rFonts w:asciiTheme="majorBidi" w:hAnsiTheme="majorBidi" w:cstheme="majorBidi"/>
          <w:color w:val="000000"/>
        </w:rPr>
        <w:t xml:space="preserve"> </w:t>
      </w:r>
      <w:r w:rsidR="00016F6E">
        <w:rPr>
          <w:rFonts w:asciiTheme="majorBidi" w:hAnsiTheme="majorBidi" w:cstheme="majorBidi"/>
          <w:color w:val="000000"/>
        </w:rPr>
        <w:t xml:space="preserve">verse </w:t>
      </w:r>
      <w:r w:rsidR="00F24B7B">
        <w:rPr>
          <w:rFonts w:asciiTheme="majorBidi" w:hAnsiTheme="majorBidi" w:cstheme="majorBidi"/>
          <w:color w:val="000000"/>
        </w:rPr>
        <w:t>8</w:t>
      </w:r>
      <w:r w:rsidR="008F25A6">
        <w:rPr>
          <w:rFonts w:asciiTheme="majorBidi" w:hAnsiTheme="majorBidi" w:cstheme="majorBidi"/>
          <w:color w:val="000000"/>
        </w:rPr>
        <w:t>,</w:t>
      </w:r>
      <w:r w:rsidR="00325DE6">
        <w:rPr>
          <w:rFonts w:asciiTheme="majorBidi" w:hAnsiTheme="majorBidi" w:cstheme="majorBidi"/>
          <w:color w:val="000000"/>
        </w:rPr>
        <w:t xml:space="preserve"> </w:t>
      </w:r>
      <w:r w:rsidR="003A55E0">
        <w:rPr>
          <w:rFonts w:asciiTheme="majorBidi" w:hAnsiTheme="majorBidi" w:cstheme="majorBidi"/>
          <w:color w:val="000000"/>
        </w:rPr>
        <w:t xml:space="preserve">a pair of pronouns </w:t>
      </w:r>
      <w:r w:rsidR="00E64816">
        <w:rPr>
          <w:rFonts w:asciiTheme="majorBidi" w:hAnsiTheme="majorBidi" w:cstheme="majorBidi"/>
          <w:color w:val="000000"/>
        </w:rPr>
        <w:t>is</w:t>
      </w:r>
      <w:r w:rsidR="003A55E0">
        <w:rPr>
          <w:rFonts w:asciiTheme="majorBidi" w:hAnsiTheme="majorBidi" w:cstheme="majorBidi"/>
          <w:color w:val="000000"/>
        </w:rPr>
        <w:t xml:space="preserve"> rendered</w:t>
      </w:r>
      <w:r w:rsidR="007F0F25">
        <w:rPr>
          <w:rFonts w:asciiTheme="majorBidi" w:hAnsiTheme="majorBidi" w:cstheme="majorBidi"/>
          <w:color w:val="000000"/>
        </w:rPr>
        <w:t xml:space="preserve"> in each rendition</w:t>
      </w:r>
      <w:r w:rsidR="00E64816">
        <w:rPr>
          <w:rFonts w:asciiTheme="majorBidi" w:hAnsiTheme="majorBidi" w:cstheme="majorBidi"/>
          <w:color w:val="000000"/>
        </w:rPr>
        <w:t xml:space="preserve"> as follows</w:t>
      </w:r>
      <w:r w:rsidR="00325DE6">
        <w:rPr>
          <w:rFonts w:asciiTheme="majorBidi" w:hAnsiTheme="majorBidi" w:cstheme="majorBidi"/>
          <w:color w:val="000000"/>
        </w:rPr>
        <w:t>:</w:t>
      </w:r>
      <w:r w:rsidR="003A55E0">
        <w:rPr>
          <w:rStyle w:val="FootnoteReference"/>
          <w:rFonts w:asciiTheme="majorBidi" w:hAnsiTheme="majorBidi" w:cstheme="majorBidi"/>
          <w:color w:val="000000"/>
        </w:rPr>
        <w:footnoteReference w:id="8"/>
      </w:r>
    </w:p>
    <w:p w14:paraId="790526D1" w14:textId="26454072" w:rsidR="00325DE6" w:rsidRPr="00097315" w:rsidRDefault="00F24B7B" w:rsidP="00097315">
      <w:pPr>
        <w:pStyle w:val="Standard1218justified"/>
        <w:spacing w:before="120"/>
        <w:ind w:left="720"/>
        <w:rPr>
          <w:sz w:val="22"/>
          <w:szCs w:val="22"/>
        </w:rPr>
      </w:pPr>
      <w:r w:rsidRPr="00097315">
        <w:rPr>
          <w:sz w:val="22"/>
          <w:szCs w:val="22"/>
        </w:rPr>
        <w:t xml:space="preserve">But if </w:t>
      </w:r>
      <w:r w:rsidRPr="00E64816">
        <w:rPr>
          <w:sz w:val="22"/>
          <w:szCs w:val="22"/>
          <w:u w:val="single" w:color="A6A6A6" w:themeColor="background1" w:themeShade="A6"/>
        </w:rPr>
        <w:t>one</w:t>
      </w:r>
      <w:r w:rsidRPr="00097315">
        <w:rPr>
          <w:sz w:val="22"/>
          <w:szCs w:val="22"/>
        </w:rPr>
        <w:t xml:space="preserve"> cannot afford the equivalent, </w:t>
      </w:r>
      <w:r w:rsidRPr="00E64816">
        <w:rPr>
          <w:sz w:val="22"/>
          <w:szCs w:val="22"/>
          <w:u w:val="single" w:color="A6A6A6" w:themeColor="background1" w:themeShade="A6"/>
        </w:rPr>
        <w:t>he</w:t>
      </w:r>
      <w:r w:rsidRPr="00097315">
        <w:rPr>
          <w:sz w:val="22"/>
          <w:szCs w:val="22"/>
        </w:rPr>
        <w:t xml:space="preserve"> shall</w:t>
      </w:r>
      <w:r w:rsidR="00325DE6" w:rsidRPr="00097315">
        <w:rPr>
          <w:sz w:val="22"/>
          <w:szCs w:val="22"/>
        </w:rPr>
        <w:t>… (NJPS</w:t>
      </w:r>
      <w:r w:rsidR="00E8616C">
        <w:rPr>
          <w:sz w:val="22"/>
          <w:szCs w:val="22"/>
        </w:rPr>
        <w:t>, 1962</w:t>
      </w:r>
      <w:r w:rsidR="00325DE6" w:rsidRPr="00097315">
        <w:rPr>
          <w:sz w:val="22"/>
          <w:szCs w:val="22"/>
        </w:rPr>
        <w:t>)</w:t>
      </w:r>
    </w:p>
    <w:p w14:paraId="277A90E2" w14:textId="3899FE27" w:rsidR="00325DE6" w:rsidRPr="00097315" w:rsidRDefault="00F24B7B" w:rsidP="00097315">
      <w:pPr>
        <w:pStyle w:val="Standard1218justified"/>
        <w:ind w:left="720"/>
        <w:rPr>
          <w:sz w:val="22"/>
          <w:szCs w:val="22"/>
        </w:rPr>
      </w:pPr>
      <w:r w:rsidRPr="008A5BFD">
        <w:rPr>
          <w:sz w:val="22"/>
          <w:szCs w:val="22"/>
        </w:rPr>
        <w:t xml:space="preserve">But if </w:t>
      </w:r>
      <w:r w:rsidRPr="00E64816">
        <w:rPr>
          <w:sz w:val="22"/>
          <w:szCs w:val="22"/>
          <w:u w:val="single" w:color="A6A6A6" w:themeColor="background1" w:themeShade="A6"/>
        </w:rPr>
        <w:t>one</w:t>
      </w:r>
      <w:r w:rsidRPr="008A5BFD">
        <w:rPr>
          <w:sz w:val="22"/>
          <w:szCs w:val="22"/>
        </w:rPr>
        <w:t xml:space="preserve"> cannot afford the equivalent, </w:t>
      </w:r>
      <w:r w:rsidRPr="00E64816">
        <w:rPr>
          <w:sz w:val="22"/>
          <w:szCs w:val="22"/>
          <w:u w:val="single" w:color="A6A6A6" w:themeColor="background1" w:themeShade="A6"/>
        </w:rPr>
        <w:t>that person</w:t>
      </w:r>
      <w:r w:rsidRPr="008A5BFD">
        <w:rPr>
          <w:sz w:val="22"/>
          <w:szCs w:val="22"/>
        </w:rPr>
        <w:t xml:space="preserve"> shall</w:t>
      </w:r>
      <w:r w:rsidR="00325DE6" w:rsidRPr="00097315">
        <w:rPr>
          <w:sz w:val="22"/>
          <w:szCs w:val="22"/>
        </w:rPr>
        <w:t>… (CJPS</w:t>
      </w:r>
      <w:r w:rsidR="00E8616C">
        <w:rPr>
          <w:sz w:val="22"/>
          <w:szCs w:val="22"/>
        </w:rPr>
        <w:t>, 2006</w:t>
      </w:r>
      <w:r w:rsidR="00325DE6" w:rsidRPr="00097315">
        <w:rPr>
          <w:sz w:val="22"/>
          <w:szCs w:val="22"/>
        </w:rPr>
        <w:t>)</w:t>
      </w:r>
    </w:p>
    <w:p w14:paraId="3F116CF9" w14:textId="33B8E9B8" w:rsidR="00325DE6" w:rsidRPr="00097315" w:rsidRDefault="00F24B7B" w:rsidP="00097315">
      <w:pPr>
        <w:pStyle w:val="Standard1218justified"/>
        <w:spacing w:after="120"/>
        <w:ind w:left="720"/>
        <w:rPr>
          <w:sz w:val="22"/>
          <w:szCs w:val="22"/>
        </w:rPr>
      </w:pPr>
      <w:r w:rsidRPr="008A5BFD">
        <w:rPr>
          <w:sz w:val="22"/>
          <w:szCs w:val="22"/>
        </w:rPr>
        <w:t xml:space="preserve">But if </w:t>
      </w:r>
      <w:r w:rsidRPr="00E64816">
        <w:rPr>
          <w:sz w:val="22"/>
          <w:szCs w:val="22"/>
          <w:u w:val="single" w:color="A6A6A6" w:themeColor="background1" w:themeShade="A6"/>
        </w:rPr>
        <w:t>someone</w:t>
      </w:r>
      <w:r w:rsidRPr="008A5BFD">
        <w:rPr>
          <w:sz w:val="22"/>
          <w:szCs w:val="22"/>
        </w:rPr>
        <w:t xml:space="preserve"> cannot afford the equivalent, </w:t>
      </w:r>
      <w:r w:rsidRPr="00E64816">
        <w:rPr>
          <w:sz w:val="22"/>
          <w:szCs w:val="22"/>
          <w:u w:val="single" w:color="A6A6A6" w:themeColor="background1" w:themeShade="A6"/>
        </w:rPr>
        <w:t>they</w:t>
      </w:r>
      <w:r w:rsidRPr="008A5BFD">
        <w:rPr>
          <w:sz w:val="22"/>
          <w:szCs w:val="22"/>
        </w:rPr>
        <w:t xml:space="preserve"> shall…</w:t>
      </w:r>
      <w:r w:rsidR="00325DE6" w:rsidRPr="00097315">
        <w:rPr>
          <w:sz w:val="22"/>
          <w:szCs w:val="22"/>
        </w:rPr>
        <w:t xml:space="preserve"> (RJPS)</w:t>
      </w:r>
    </w:p>
    <w:p w14:paraId="5F946FA4" w14:textId="3B45DFD1" w:rsidR="002152F1" w:rsidRPr="00B45606" w:rsidRDefault="00E8616C" w:rsidP="00D63C82">
      <w:pPr>
        <w:pStyle w:val="StandardFL"/>
        <w:rPr>
          <w:rFonts w:asciiTheme="majorBidi" w:hAnsiTheme="majorBidi" w:cstheme="majorBidi"/>
          <w:color w:val="000000"/>
        </w:rPr>
      </w:pPr>
      <w:r>
        <w:rPr>
          <w:rFonts w:asciiTheme="majorBidi" w:hAnsiTheme="majorBidi" w:cstheme="majorBidi"/>
          <w:color w:val="000000"/>
        </w:rPr>
        <w:t>Given the available options</w:t>
      </w:r>
      <w:r w:rsidR="00D63C82">
        <w:rPr>
          <w:rFonts w:asciiTheme="majorBidi" w:hAnsiTheme="majorBidi" w:cstheme="majorBidi"/>
          <w:color w:val="000000"/>
        </w:rPr>
        <w:t xml:space="preserve"> </w:t>
      </w:r>
      <w:r w:rsidR="00785FED">
        <w:rPr>
          <w:rFonts w:asciiTheme="majorBidi" w:hAnsiTheme="majorBidi" w:cstheme="majorBidi"/>
          <w:color w:val="000000"/>
        </w:rPr>
        <w:t>and current English usage</w:t>
      </w:r>
      <w:r>
        <w:rPr>
          <w:rFonts w:asciiTheme="majorBidi" w:hAnsiTheme="majorBidi" w:cstheme="majorBidi"/>
          <w:color w:val="000000"/>
        </w:rPr>
        <w:t xml:space="preserve">, </w:t>
      </w:r>
      <w:r w:rsidR="00EA5706">
        <w:rPr>
          <w:rFonts w:asciiTheme="majorBidi" w:hAnsiTheme="majorBidi" w:cstheme="majorBidi"/>
          <w:color w:val="000000"/>
        </w:rPr>
        <w:t xml:space="preserve">a </w:t>
      </w:r>
      <w:r w:rsidR="002D5C14">
        <w:rPr>
          <w:rFonts w:asciiTheme="majorBidi" w:hAnsiTheme="majorBidi" w:cstheme="majorBidi"/>
          <w:color w:val="000000"/>
        </w:rPr>
        <w:t xml:space="preserve">rendering with </w:t>
      </w:r>
      <w:r>
        <w:rPr>
          <w:rFonts w:asciiTheme="majorBidi" w:hAnsiTheme="majorBidi" w:cstheme="majorBidi"/>
          <w:color w:val="000000"/>
        </w:rPr>
        <w:t>the</w:t>
      </w:r>
      <w:r w:rsidR="009A7420">
        <w:rPr>
          <w:rFonts w:asciiTheme="majorBidi" w:hAnsiTheme="majorBidi" w:cstheme="majorBidi"/>
          <w:color w:val="000000"/>
        </w:rPr>
        <w:t xml:space="preserve"> pronoun</w:t>
      </w:r>
      <w:r>
        <w:rPr>
          <w:rFonts w:asciiTheme="majorBidi" w:hAnsiTheme="majorBidi" w:cstheme="majorBidi"/>
          <w:color w:val="000000"/>
        </w:rPr>
        <w:t xml:space="preserve"> </w:t>
      </w:r>
      <w:r>
        <w:rPr>
          <w:rFonts w:asciiTheme="majorBidi" w:hAnsiTheme="majorBidi" w:cstheme="majorBidi"/>
          <w:i/>
          <w:iCs/>
          <w:color w:val="000000"/>
        </w:rPr>
        <w:t>the</w:t>
      </w:r>
      <w:r w:rsidR="00D63C82">
        <w:rPr>
          <w:rFonts w:asciiTheme="majorBidi" w:hAnsiTheme="majorBidi" w:cstheme="majorBidi"/>
          <w:i/>
          <w:iCs/>
          <w:color w:val="000000"/>
        </w:rPr>
        <w:t>y</w:t>
      </w:r>
      <w:r>
        <w:rPr>
          <w:rFonts w:asciiTheme="majorBidi" w:hAnsiTheme="majorBidi" w:cstheme="majorBidi"/>
          <w:color w:val="000000"/>
        </w:rPr>
        <w:t xml:space="preserve"> </w:t>
      </w:r>
      <w:proofErr w:type="gramStart"/>
      <w:r w:rsidR="00E545E2">
        <w:rPr>
          <w:rFonts w:asciiTheme="majorBidi" w:hAnsiTheme="majorBidi" w:cstheme="majorBidi"/>
          <w:color w:val="000000"/>
        </w:rPr>
        <w:t>was</w:t>
      </w:r>
      <w:proofErr w:type="gramEnd"/>
      <w:r w:rsidR="00E545E2">
        <w:rPr>
          <w:rFonts w:asciiTheme="majorBidi" w:hAnsiTheme="majorBidi" w:cstheme="majorBidi"/>
          <w:color w:val="000000"/>
        </w:rPr>
        <w:t xml:space="preserve"> deemed</w:t>
      </w:r>
      <w:r w:rsidR="009A7420">
        <w:rPr>
          <w:rFonts w:asciiTheme="majorBidi" w:hAnsiTheme="majorBidi" w:cstheme="majorBidi"/>
          <w:color w:val="000000"/>
        </w:rPr>
        <w:t xml:space="preserve"> the most </w:t>
      </w:r>
      <w:r w:rsidR="00D63C82">
        <w:rPr>
          <w:rFonts w:asciiTheme="majorBidi" w:hAnsiTheme="majorBidi" w:cstheme="majorBidi"/>
          <w:color w:val="000000"/>
        </w:rPr>
        <w:t>acceptable</w:t>
      </w:r>
      <w:r w:rsidR="00D11FD2">
        <w:rPr>
          <w:rFonts w:asciiTheme="majorBidi" w:hAnsiTheme="majorBidi" w:cstheme="majorBidi"/>
          <w:color w:val="000000"/>
        </w:rPr>
        <w:t xml:space="preserve"> for RJPS</w:t>
      </w:r>
      <w:r w:rsidR="00D63C82">
        <w:rPr>
          <w:rFonts w:asciiTheme="majorBidi" w:hAnsiTheme="majorBidi" w:cstheme="majorBidi"/>
          <w:color w:val="000000"/>
        </w:rPr>
        <w:t>.</w:t>
      </w:r>
      <w:r w:rsidR="00FD3CDE" w:rsidRPr="00B45606">
        <w:rPr>
          <w:rStyle w:val="FootnoteReference"/>
          <w:rFonts w:asciiTheme="majorBidi" w:hAnsiTheme="majorBidi" w:cstheme="majorBidi"/>
          <w:color w:val="000000"/>
        </w:rPr>
        <w:footnoteReference w:id="9"/>
      </w:r>
      <w:r w:rsidR="00395389" w:rsidRPr="00B45606">
        <w:rPr>
          <w:rFonts w:asciiTheme="majorBidi" w:hAnsiTheme="majorBidi" w:cstheme="majorBidi"/>
          <w:color w:val="000000"/>
        </w:rPr>
        <w:t xml:space="preserve"> </w:t>
      </w:r>
    </w:p>
    <w:p w14:paraId="1625D7E5" w14:textId="44D820A4" w:rsidR="007F1350" w:rsidRPr="00B45606" w:rsidRDefault="007F1350" w:rsidP="002D3C74">
      <w:pPr>
        <w:pStyle w:val="Standard1218justified"/>
        <w:rPr>
          <w:rFonts w:asciiTheme="majorBidi" w:hAnsiTheme="majorBidi" w:cstheme="majorBidi"/>
          <w:color w:val="000000"/>
        </w:rPr>
      </w:pPr>
    </w:p>
    <w:p w14:paraId="768DD206" w14:textId="5DF62E0F" w:rsidR="007F1350" w:rsidRPr="00B45606" w:rsidRDefault="00AD7CB9" w:rsidP="00F3633F">
      <w:pPr>
        <w:pStyle w:val="Heading3"/>
      </w:pPr>
      <w:proofErr w:type="gramStart"/>
      <w:r w:rsidRPr="00B45606">
        <w:rPr>
          <w:i/>
          <w:iCs/>
        </w:rPr>
        <w:t>M</w:t>
      </w:r>
      <w:r w:rsidRPr="00AD7CB9">
        <w:rPr>
          <w:i/>
          <w:iCs/>
        </w:rPr>
        <w:t>an</w:t>
      </w:r>
      <w:proofErr w:type="gramEnd"/>
      <w:r w:rsidRPr="00AD7CB9">
        <w:t xml:space="preserve"> and Its Special Function</w:t>
      </w:r>
    </w:p>
    <w:p w14:paraId="016CAF1D" w14:textId="74E47FDA" w:rsidR="00D57D39" w:rsidRPr="00E60AF9" w:rsidRDefault="00C969E3" w:rsidP="00576326">
      <w:pPr>
        <w:pStyle w:val="StandardFL"/>
      </w:pPr>
      <w:r>
        <w:t>T</w:t>
      </w:r>
      <w:r w:rsidR="006E0BF1" w:rsidRPr="00B45606">
        <w:t>he Preface</w:t>
      </w:r>
      <w:r w:rsidR="004B64AF" w:rsidRPr="00B45606">
        <w:t xml:space="preserve"> </w:t>
      </w:r>
      <w:r>
        <w:t>also noted a</w:t>
      </w:r>
      <w:r w:rsidR="00F80ECC" w:rsidRPr="00B45606">
        <w:t xml:space="preserve"> major shift in </w:t>
      </w:r>
      <w:r w:rsidR="004B64AF" w:rsidRPr="00B45606">
        <w:t>the</w:t>
      </w:r>
      <w:r>
        <w:t xml:space="preserve"> patterns of</w:t>
      </w:r>
      <w:r w:rsidR="004B64AF" w:rsidRPr="00B45606">
        <w:t xml:space="preserve"> </w:t>
      </w:r>
      <w:r w:rsidR="00127CE3" w:rsidRPr="00B45606">
        <w:t>usage</w:t>
      </w:r>
      <w:r w:rsidR="00F80ECC" w:rsidRPr="00B45606">
        <w:t xml:space="preserve"> </w:t>
      </w:r>
      <w:r w:rsidR="004B64AF" w:rsidRPr="00B45606">
        <w:t>of</w:t>
      </w:r>
      <w:r w:rsidR="00025D8D" w:rsidRPr="00B45606">
        <w:t xml:space="preserve"> </w:t>
      </w:r>
      <w:r w:rsidR="00F80ECC" w:rsidRPr="00B45606">
        <w:rPr>
          <w:i/>
          <w:iCs/>
        </w:rPr>
        <w:t>man</w:t>
      </w:r>
      <w:r w:rsidR="00F80ECC" w:rsidRPr="00B45606">
        <w:t xml:space="preserve">. </w:t>
      </w:r>
      <w:r>
        <w:t>Many observers say</w:t>
      </w:r>
      <w:r w:rsidR="00E60AF9">
        <w:t xml:space="preserve"> that </w:t>
      </w:r>
      <w:r w:rsidR="00E60AF9">
        <w:rPr>
          <w:i/>
          <w:iCs/>
        </w:rPr>
        <w:t>man</w:t>
      </w:r>
      <w:r w:rsidR="00E60AF9">
        <w:t xml:space="preserve"> has become a “false generic,” </w:t>
      </w:r>
      <w:r w:rsidR="008E3540">
        <w:t>for</w:t>
      </w:r>
      <w:r w:rsidR="00E60AF9">
        <w:t xml:space="preserve"> it is no longer applicable to all members of the groups to which it formerly applied. That view is correct as far as it goes. However, it greatly oversimplifies the challenges faced by translators into English, for it overlooks </w:t>
      </w:r>
      <w:r>
        <w:t>a</w:t>
      </w:r>
      <w:r w:rsidR="00E60AF9">
        <w:t xml:space="preserve"> classic special function of </w:t>
      </w:r>
      <w:r w:rsidR="00E60AF9">
        <w:rPr>
          <w:i/>
          <w:iCs/>
        </w:rPr>
        <w:t>man</w:t>
      </w:r>
      <w:r w:rsidR="00E60AF9">
        <w:t xml:space="preserve"> in the English language.</w:t>
      </w:r>
      <w:r w:rsidR="00A41D19">
        <w:t xml:space="preserve"> That dis</w:t>
      </w:r>
      <w:r w:rsidR="00E0319C">
        <w:t>tinctive</w:t>
      </w:r>
      <w:r w:rsidR="00A41D19">
        <w:t xml:space="preserve"> function will now be explained, so that its implications for translation can be properly taken into account.</w:t>
      </w:r>
    </w:p>
    <w:p w14:paraId="0065ADB0" w14:textId="0F7765E7" w:rsidR="00C71ADA" w:rsidRDefault="002D3C74" w:rsidP="00D57D39">
      <w:pPr>
        <w:pStyle w:val="Standard1218justified"/>
      </w:pPr>
      <w:r w:rsidRPr="00B45606">
        <w:lastRenderedPageBreak/>
        <w:t>A</w:t>
      </w:r>
      <w:r>
        <w:t xml:space="preserve">s a label </w:t>
      </w:r>
      <w:r w:rsidR="00127CE3">
        <w:t>deployed</w:t>
      </w:r>
      <w:r>
        <w:t xml:space="preserve"> to refer to persons, </w:t>
      </w:r>
      <w:r>
        <w:rPr>
          <w:i/>
          <w:iCs/>
        </w:rPr>
        <w:t>man</w:t>
      </w:r>
      <w:r>
        <w:t xml:space="preserve"> </w:t>
      </w:r>
      <w:r w:rsidR="00415720" w:rsidRPr="00C03A20">
        <w:t>belong</w:t>
      </w:r>
      <w:r>
        <w:t>s</w:t>
      </w:r>
      <w:r w:rsidR="00415720" w:rsidRPr="00C03A20">
        <w:t xml:space="preserve"> to a </w:t>
      </w:r>
      <w:r w:rsidR="00A42B9C">
        <w:t>tiny</w:t>
      </w:r>
      <w:r w:rsidR="00415720" w:rsidRPr="00C03A20">
        <w:t xml:space="preserve"> yet important class of </w:t>
      </w:r>
      <w:r w:rsidR="003F1717">
        <w:t>words:</w:t>
      </w:r>
      <w:r w:rsidR="003F1717" w:rsidRPr="003F1717">
        <w:t xml:space="preserve"> </w:t>
      </w:r>
      <w:r w:rsidR="003F1717">
        <w:t xml:space="preserve">it is a </w:t>
      </w:r>
      <w:r w:rsidR="003F1717" w:rsidRPr="00C71ADA">
        <w:rPr>
          <w:i/>
          <w:iCs/>
        </w:rPr>
        <w:t>situating noun</w:t>
      </w:r>
      <w:r w:rsidR="003F1717">
        <w:t>.</w:t>
      </w:r>
      <w:r w:rsidR="00F22F71">
        <w:t xml:space="preserve"> </w:t>
      </w:r>
      <w:r w:rsidR="003F1717">
        <w:t>Its</w:t>
      </w:r>
      <w:r w:rsidR="00415720" w:rsidRPr="00C03A20">
        <w:t xml:space="preserve"> primary function is to </w:t>
      </w:r>
      <w:r w:rsidR="00415720" w:rsidRPr="00C71ADA">
        <w:t>situate</w:t>
      </w:r>
      <w:r w:rsidR="00415720" w:rsidRPr="00C03A20">
        <w:rPr>
          <w:i/>
          <w:iCs/>
        </w:rPr>
        <w:t xml:space="preserve"> </w:t>
      </w:r>
      <w:r w:rsidR="00415720" w:rsidRPr="00C03A20">
        <w:t>the</w:t>
      </w:r>
      <w:r w:rsidR="00FD4CFA">
        <w:t xml:space="preserve"> person being talked about (in linguistic terms, the</w:t>
      </w:r>
      <w:r w:rsidR="00415720" w:rsidRPr="00C03A20">
        <w:t xml:space="preserve"> </w:t>
      </w:r>
      <w:r w:rsidR="00FD4CFA">
        <w:t>“</w:t>
      </w:r>
      <w:r w:rsidR="00415720" w:rsidRPr="00C03A20">
        <w:t>referent</w:t>
      </w:r>
      <w:r w:rsidR="00FD4CFA">
        <w:t>”)</w:t>
      </w:r>
      <w:r w:rsidR="00415720" w:rsidRPr="00C03A20">
        <w:t>.</w:t>
      </w:r>
      <w:r w:rsidR="00127CE3">
        <w:rPr>
          <w:rStyle w:val="FootnoteReference"/>
          <w:lang w:bidi="he-IL"/>
        </w:rPr>
        <w:footnoteReference w:id="10"/>
      </w:r>
      <w:r w:rsidR="00415720" w:rsidRPr="00C03A20">
        <w:t xml:space="preserve"> Typically when a speaker employs</w:t>
      </w:r>
      <w:r w:rsidR="00C71ADA">
        <w:t xml:space="preserve"> such</w:t>
      </w:r>
      <w:r w:rsidR="00415720" w:rsidRPr="00C03A20">
        <w:t xml:space="preserve"> a noun, it signals </w:t>
      </w:r>
      <w:r w:rsidR="00F22F71">
        <w:t>that</w:t>
      </w:r>
      <w:r w:rsidR="00415720" w:rsidRPr="00C03A20">
        <w:t xml:space="preserve"> the audience should attend to </w:t>
      </w:r>
      <w:r w:rsidR="003F1717">
        <w:t>the</w:t>
      </w:r>
      <w:r w:rsidR="00415720">
        <w:t xml:space="preserve"> referent</w:t>
      </w:r>
      <w:r w:rsidR="00415720" w:rsidRPr="00B45606">
        <w:t>’s p</w:t>
      </w:r>
      <w:r w:rsidR="00415720">
        <w:t>lace within</w:t>
      </w:r>
      <w:r w:rsidR="00415720" w:rsidRPr="00C03A20">
        <w:t xml:space="preserve"> the depicted situation</w:t>
      </w:r>
      <w:r>
        <w:t>,</w:t>
      </w:r>
      <w:r w:rsidR="00415720" w:rsidRPr="00C03A20">
        <w:t xml:space="preserve"> rather than to th</w:t>
      </w:r>
      <w:r w:rsidR="00C71ADA">
        <w:t>e person</w:t>
      </w:r>
      <w:r w:rsidR="00415720" w:rsidRPr="00B45606">
        <w:t>’s i</w:t>
      </w:r>
      <w:r w:rsidR="00415720" w:rsidRPr="00C03A20">
        <w:t>ntrinsic features.</w:t>
      </w:r>
      <w:r w:rsidR="002D1B6A">
        <w:rPr>
          <w:rStyle w:val="FootnoteReference"/>
          <w:lang w:bidi="he-IL"/>
        </w:rPr>
        <w:footnoteReference w:id="11"/>
      </w:r>
      <w:r w:rsidR="00415720" w:rsidRPr="00C03A20">
        <w:t xml:space="preserve"> </w:t>
      </w:r>
    </w:p>
    <w:p w14:paraId="2EF14CF2" w14:textId="75B92925" w:rsidR="00415720" w:rsidRPr="00C03A20" w:rsidRDefault="00AB4F8B" w:rsidP="00D57D39">
      <w:pPr>
        <w:pStyle w:val="Standard1218justified"/>
      </w:pPr>
      <w:r>
        <w:t xml:space="preserve">An exemplar is the classic emergency cry </w:t>
      </w:r>
      <w:r w:rsidRPr="00C03A20">
        <w:t>“</w:t>
      </w:r>
      <w:r>
        <w:t>M</w:t>
      </w:r>
      <w:r w:rsidRPr="00C03A20">
        <w:t>an overboard</w:t>
      </w:r>
      <w:r>
        <w:t>!</w:t>
      </w:r>
      <w:r w:rsidRPr="00C03A20">
        <w:t>”</w:t>
      </w:r>
      <w:r>
        <w:t xml:space="preserve"> Those two words</w:t>
      </w:r>
      <w:r w:rsidR="003F1717">
        <w:t xml:space="preserve"> immediately</w:t>
      </w:r>
      <w:r>
        <w:t xml:space="preserve"> evoke a situation of distress</w:t>
      </w:r>
      <w:r w:rsidR="00576326">
        <w:t>, in which t</w:t>
      </w:r>
      <w:r>
        <w:t>he person’s attributes (age, gender, social class, race, hair color, etc.) are beside the point.</w:t>
      </w:r>
      <w:r w:rsidR="00576326">
        <w:t xml:space="preserve"> T</w:t>
      </w:r>
      <w:r w:rsidR="002D3C74">
        <w:t xml:space="preserve">he </w:t>
      </w:r>
      <w:r w:rsidR="00415720" w:rsidRPr="00C03A20">
        <w:t xml:space="preserve">speaker </w:t>
      </w:r>
      <w:r w:rsidR="002D3C74">
        <w:t xml:space="preserve">wishes </w:t>
      </w:r>
      <w:r w:rsidR="00415720" w:rsidRPr="00C03A20">
        <w:t xml:space="preserve">to </w:t>
      </w:r>
      <w:r w:rsidR="00576326">
        <w:t>communicate about</w:t>
      </w:r>
      <w:r w:rsidR="00415720">
        <w:t xml:space="preserve"> </w:t>
      </w:r>
      <w:r w:rsidR="002D3C74">
        <w:t>a</w:t>
      </w:r>
      <w:r w:rsidR="00415720" w:rsidRPr="00C03A20">
        <w:t xml:space="preserve"> situation of </w:t>
      </w:r>
      <w:r w:rsidR="00CC5D2D">
        <w:t xml:space="preserve">urgent </w:t>
      </w:r>
      <w:r w:rsidR="00415720" w:rsidRPr="00C03A20">
        <w:t>interest</w:t>
      </w:r>
      <w:r w:rsidR="00CC5D2D">
        <w:t>—</w:t>
      </w:r>
      <w:r w:rsidR="002D3C74">
        <w:t>involving one participant</w:t>
      </w:r>
      <w:r w:rsidR="00A74B6A">
        <w:t>;</w:t>
      </w:r>
      <w:r w:rsidR="00576326">
        <w:t xml:space="preserve"> </w:t>
      </w:r>
      <w:r w:rsidR="002D3C74">
        <w:t>the situating noun</w:t>
      </w:r>
      <w:r w:rsidR="00576326">
        <w:t xml:space="preserve"> </w:t>
      </w:r>
      <w:r w:rsidR="00576326">
        <w:rPr>
          <w:i/>
          <w:iCs/>
        </w:rPr>
        <w:t>man</w:t>
      </w:r>
      <w:r w:rsidR="002D3C74">
        <w:t xml:space="preserve"> enables </w:t>
      </w:r>
      <w:r w:rsidR="00A74B6A">
        <w:t>the situation</w:t>
      </w:r>
      <w:r w:rsidR="002D3C74">
        <w:t xml:space="preserve"> to be</w:t>
      </w:r>
      <w:r w:rsidR="004855E8">
        <w:t xml:space="preserve"> </w:t>
      </w:r>
      <w:r w:rsidR="00A74B6A">
        <w:t>sketched</w:t>
      </w:r>
      <w:r w:rsidR="004855E8" w:rsidRPr="00C03A20">
        <w:t xml:space="preserve"> succinct</w:t>
      </w:r>
      <w:r w:rsidR="004855E8">
        <w:t xml:space="preserve">ly, </w:t>
      </w:r>
      <w:r w:rsidR="002E39A0" w:rsidRPr="00C03A20">
        <w:t xml:space="preserve">in a </w:t>
      </w:r>
      <w:r w:rsidR="00415720" w:rsidRPr="00C03A20">
        <w:t>schematic way.</w:t>
      </w:r>
      <w:r w:rsidR="004D69ED" w:rsidRPr="000C1909">
        <w:rPr>
          <w:rStyle w:val="FootnoteReference"/>
          <w:lang w:bidi="he-IL"/>
        </w:rPr>
        <w:footnoteReference w:id="12"/>
      </w:r>
      <w:r w:rsidR="00CC5D2D">
        <w:t xml:space="preserve"> This noun links the participant to the situation and vice versa.</w:t>
      </w:r>
    </w:p>
    <w:p w14:paraId="784DB066" w14:textId="3B7980C8" w:rsidR="00415720" w:rsidRPr="00C03A20" w:rsidRDefault="00415720" w:rsidP="00415720">
      <w:pPr>
        <w:pStyle w:val="Standard1218justified"/>
        <w:rPr>
          <w:lang w:bidi="he-IL"/>
        </w:rPr>
      </w:pPr>
      <w:r w:rsidRPr="00C03A20">
        <w:rPr>
          <w:lang w:bidi="he-IL"/>
        </w:rPr>
        <w:t>Crucially, in such usages the referent</w:t>
      </w:r>
      <w:r w:rsidRPr="00B45606">
        <w:rPr>
          <w:lang w:bidi="he-IL"/>
        </w:rPr>
        <w:t>’s g</w:t>
      </w:r>
      <w:r w:rsidRPr="00C03A20">
        <w:rPr>
          <w:lang w:bidi="he-IL"/>
        </w:rPr>
        <w:t>ender is</w:t>
      </w:r>
      <w:r w:rsidR="00E23A4E">
        <w:rPr>
          <w:lang w:bidi="he-IL"/>
        </w:rPr>
        <w:t xml:space="preserve"> not at issue. </w:t>
      </w:r>
      <w:r w:rsidR="00B171A2">
        <w:rPr>
          <w:lang w:bidi="he-IL"/>
        </w:rPr>
        <w:t>It</w:t>
      </w:r>
      <w:r w:rsidR="00E23A4E">
        <w:rPr>
          <w:lang w:bidi="he-IL"/>
        </w:rPr>
        <w:t xml:space="preserve"> is</w:t>
      </w:r>
      <w:r w:rsidRPr="00C03A20">
        <w:rPr>
          <w:lang w:bidi="he-IL"/>
        </w:rPr>
        <w:t xml:space="preserve"> either a given or </w:t>
      </w:r>
      <w:r w:rsidR="00826DC3">
        <w:rPr>
          <w:lang w:bidi="he-IL"/>
        </w:rPr>
        <w:t>beside the point</w:t>
      </w:r>
      <w:r w:rsidR="00E23A4E">
        <w:rPr>
          <w:lang w:bidi="he-IL"/>
        </w:rPr>
        <w:t>. W</w:t>
      </w:r>
      <w:r w:rsidRPr="00C03A20">
        <w:rPr>
          <w:lang w:bidi="he-IL"/>
        </w:rPr>
        <w:t xml:space="preserve">hat is at issue is </w:t>
      </w:r>
      <w:r w:rsidRPr="00C03A20">
        <w:rPr>
          <w:i/>
          <w:iCs/>
          <w:lang w:bidi="he-IL"/>
        </w:rPr>
        <w:t>how the participant in question is situated</w:t>
      </w:r>
      <w:r w:rsidRPr="00C03A20">
        <w:rPr>
          <w:lang w:bidi="he-IL"/>
        </w:rPr>
        <w:t>. This is</w:t>
      </w:r>
      <w:r w:rsidR="008B41D0">
        <w:rPr>
          <w:lang w:bidi="he-IL"/>
        </w:rPr>
        <w:t xml:space="preserve"> the reason</w:t>
      </w:r>
      <w:r w:rsidRPr="00C03A20">
        <w:rPr>
          <w:lang w:bidi="he-IL"/>
        </w:rPr>
        <w:t xml:space="preserve"> why</w:t>
      </w:r>
      <w:r w:rsidR="00466BE8">
        <w:rPr>
          <w:lang w:bidi="he-IL"/>
        </w:rPr>
        <w:t>, for example,</w:t>
      </w:r>
      <w:r w:rsidR="00882F8B">
        <w:rPr>
          <w:lang w:bidi="he-IL"/>
        </w:rPr>
        <w:t xml:space="preserve"> </w:t>
      </w:r>
      <w:r w:rsidR="00882F8B" w:rsidRPr="00C03A20">
        <w:t xml:space="preserve">the </w:t>
      </w:r>
      <w:r w:rsidR="00882F8B">
        <w:t xml:space="preserve">legal </w:t>
      </w:r>
      <w:r w:rsidR="00882F8B" w:rsidRPr="00C03A20">
        <w:t xml:space="preserve">term </w:t>
      </w:r>
      <w:r w:rsidR="00882F8B" w:rsidRPr="00C03A20">
        <w:rPr>
          <w:i/>
          <w:iCs/>
        </w:rPr>
        <w:t>mansla</w:t>
      </w:r>
      <w:r w:rsidR="00882F8B">
        <w:rPr>
          <w:i/>
          <w:iCs/>
        </w:rPr>
        <w:t>y</w:t>
      </w:r>
      <w:r w:rsidR="00882F8B" w:rsidRPr="00C03A20">
        <w:rPr>
          <w:i/>
          <w:iCs/>
        </w:rPr>
        <w:t>er</w:t>
      </w:r>
      <w:r w:rsidR="00882F8B" w:rsidRPr="00C03A20">
        <w:t xml:space="preserve"> </w:t>
      </w:r>
      <w:r w:rsidR="00C4592A">
        <w:t xml:space="preserve">has never been </w:t>
      </w:r>
      <w:r w:rsidR="00882F8B" w:rsidRPr="00C03A20">
        <w:t>gendered</w:t>
      </w:r>
      <w:r w:rsidR="00882F8B">
        <w:t xml:space="preserve"> with respect </w:t>
      </w:r>
      <w:r w:rsidR="00882F8B">
        <w:lastRenderedPageBreak/>
        <w:t xml:space="preserve">to the victim; it </w:t>
      </w:r>
      <w:r w:rsidR="00A13973">
        <w:t>evokes a schematic situation in which one participant has killed another, by labeling the former in terms</w:t>
      </w:r>
      <w:r w:rsidR="005D0351">
        <w:t xml:space="preserve"> of the situation</w:t>
      </w:r>
      <w:r w:rsidR="00A13973">
        <w:t>.</w:t>
      </w:r>
    </w:p>
    <w:p w14:paraId="57752985" w14:textId="777DB077" w:rsidR="00415720" w:rsidRPr="00C03A20" w:rsidRDefault="004C53B1" w:rsidP="00415720">
      <w:pPr>
        <w:pStyle w:val="Standard1218justified"/>
        <w:rPr>
          <w:lang w:bidi="he-IL"/>
        </w:rPr>
      </w:pPr>
      <w:r>
        <w:rPr>
          <w:lang w:bidi="he-IL"/>
        </w:rPr>
        <w:t>Even so</w:t>
      </w:r>
      <w:r w:rsidR="00974066">
        <w:rPr>
          <w:lang w:bidi="he-IL"/>
        </w:rPr>
        <w:t xml:space="preserve">, </w:t>
      </w:r>
      <w:r w:rsidR="00FF4E5E">
        <w:rPr>
          <w:lang w:bidi="he-IL"/>
        </w:rPr>
        <w:t>since</w:t>
      </w:r>
      <w:r w:rsidR="00FF4E5E" w:rsidRPr="00C03A20">
        <w:rPr>
          <w:lang w:bidi="he-IL"/>
        </w:rPr>
        <w:t xml:space="preserve"> the </w:t>
      </w:r>
      <w:r w:rsidR="00BE6F7C">
        <w:rPr>
          <w:lang w:bidi="he-IL"/>
        </w:rPr>
        <w:t>thirteen</w:t>
      </w:r>
      <w:r w:rsidR="00FF4E5E" w:rsidRPr="00C03A20">
        <w:rPr>
          <w:lang w:bidi="he-IL"/>
        </w:rPr>
        <w:t>th century</w:t>
      </w:r>
      <w:r>
        <w:rPr>
          <w:lang w:bidi="he-IL"/>
        </w:rPr>
        <w:t xml:space="preserve">—that is, </w:t>
      </w:r>
      <w:r w:rsidR="00974066">
        <w:rPr>
          <w:lang w:bidi="he-IL"/>
        </w:rPr>
        <w:t>after</w:t>
      </w:r>
      <w:r w:rsidR="00415720" w:rsidRPr="00C03A20">
        <w:rPr>
          <w:lang w:bidi="he-IL"/>
        </w:rPr>
        <w:t xml:space="preserve"> </w:t>
      </w:r>
      <w:r w:rsidR="00415720" w:rsidRPr="00AF2D14">
        <w:rPr>
          <w:i/>
          <w:iCs/>
          <w:lang w:bidi="he-IL"/>
        </w:rPr>
        <w:t>man</w:t>
      </w:r>
      <w:r w:rsidR="00415720" w:rsidRPr="00C03A20">
        <w:rPr>
          <w:lang w:bidi="he-IL"/>
        </w:rPr>
        <w:t xml:space="preserve"> </w:t>
      </w:r>
      <w:r w:rsidR="00FF4E5E">
        <w:rPr>
          <w:lang w:bidi="he-IL"/>
        </w:rPr>
        <w:t>came</w:t>
      </w:r>
      <w:r w:rsidR="00415720" w:rsidRPr="00C03A20">
        <w:rPr>
          <w:lang w:bidi="he-IL"/>
        </w:rPr>
        <w:t xml:space="preserve"> to </w:t>
      </w:r>
      <w:r w:rsidR="007768BC">
        <w:rPr>
          <w:lang w:bidi="he-IL"/>
        </w:rPr>
        <w:t>be paired with</w:t>
      </w:r>
      <w:r w:rsidR="00415720" w:rsidRPr="00C03A20">
        <w:rPr>
          <w:lang w:bidi="he-IL"/>
        </w:rPr>
        <w:t xml:space="preserve"> a female counterpart term</w:t>
      </w:r>
      <w:r>
        <w:rPr>
          <w:lang w:bidi="he-IL"/>
        </w:rPr>
        <w:t>—</w:t>
      </w:r>
      <w:r w:rsidR="00AF2D14">
        <w:rPr>
          <w:lang w:bidi="he-IL"/>
        </w:rPr>
        <w:t xml:space="preserve">the </w:t>
      </w:r>
      <w:r w:rsidR="00415720" w:rsidRPr="00C03A20">
        <w:rPr>
          <w:lang w:bidi="he-IL"/>
        </w:rPr>
        <w:t>meaning</w:t>
      </w:r>
      <w:r w:rsidR="00AF2D14">
        <w:rPr>
          <w:lang w:bidi="he-IL"/>
        </w:rPr>
        <w:t xml:space="preserve"> of </w:t>
      </w:r>
      <w:r w:rsidR="00AF2D14">
        <w:rPr>
          <w:i/>
          <w:iCs/>
          <w:lang w:bidi="he-IL"/>
        </w:rPr>
        <w:t>man</w:t>
      </w:r>
      <w:r w:rsidR="00415720" w:rsidRPr="00C03A20">
        <w:rPr>
          <w:lang w:bidi="he-IL"/>
        </w:rPr>
        <w:t xml:space="preserve"> predictably evolved over time</w:t>
      </w:r>
      <w:r w:rsidR="00CC4D7B">
        <w:rPr>
          <w:lang w:bidi="he-IL"/>
        </w:rPr>
        <w:t>: t</w:t>
      </w:r>
      <w:r w:rsidR="00C41971">
        <w:rPr>
          <w:lang w:bidi="he-IL"/>
        </w:rPr>
        <w:t xml:space="preserve">he more that </w:t>
      </w:r>
      <w:r w:rsidR="00CC4D7B">
        <w:rPr>
          <w:lang w:bidi="he-IL"/>
        </w:rPr>
        <w:t>this noun</w:t>
      </w:r>
      <w:r w:rsidR="00C41971">
        <w:rPr>
          <w:lang w:bidi="he-IL"/>
        </w:rPr>
        <w:t xml:space="preserve"> was applied to men (versus women), the more </w:t>
      </w:r>
      <w:r w:rsidR="007768BC">
        <w:rPr>
          <w:lang w:bidi="he-IL"/>
        </w:rPr>
        <w:t>such an</w:t>
      </w:r>
      <w:r w:rsidR="00C41971">
        <w:rPr>
          <w:lang w:bidi="he-IL"/>
        </w:rPr>
        <w:t xml:space="preserve"> association with male</w:t>
      </w:r>
      <w:r w:rsidR="00974066">
        <w:rPr>
          <w:lang w:bidi="he-IL"/>
        </w:rPr>
        <w:t>ness</w:t>
      </w:r>
      <w:r w:rsidR="00C41971">
        <w:rPr>
          <w:lang w:bidi="he-IL"/>
        </w:rPr>
        <w:t xml:space="preserve"> came to be seen as</w:t>
      </w:r>
      <w:r w:rsidR="002B367F">
        <w:rPr>
          <w:lang w:bidi="he-IL"/>
        </w:rPr>
        <w:t xml:space="preserve"> part of</w:t>
      </w:r>
      <w:r w:rsidR="00C41971">
        <w:rPr>
          <w:lang w:bidi="he-IL"/>
        </w:rPr>
        <w:t xml:space="preserve"> </w:t>
      </w:r>
      <w:r w:rsidR="00CC4D7B">
        <w:rPr>
          <w:lang w:bidi="he-IL"/>
        </w:rPr>
        <w:t>i</w:t>
      </w:r>
      <w:r w:rsidR="00C41971">
        <w:rPr>
          <w:lang w:bidi="he-IL"/>
        </w:rPr>
        <w:t xml:space="preserve">ts own meaning. </w:t>
      </w:r>
      <w:proofErr w:type="gramStart"/>
      <w:r w:rsidR="00415720" w:rsidRPr="00C03A20">
        <w:rPr>
          <w:lang w:bidi="he-IL"/>
        </w:rPr>
        <w:t>Thus</w:t>
      </w:r>
      <w:proofErr w:type="gramEnd"/>
      <w:r w:rsidR="00415720" w:rsidRPr="00C03A20">
        <w:rPr>
          <w:lang w:bidi="he-IL"/>
        </w:rPr>
        <w:t xml:space="preserve"> a classic expression like </w:t>
      </w:r>
      <w:r w:rsidR="00415720" w:rsidRPr="007768BC">
        <w:rPr>
          <w:i/>
          <w:iCs/>
          <w:lang w:bidi="he-IL"/>
        </w:rPr>
        <w:t>not a man in sight</w:t>
      </w:r>
      <w:r w:rsidR="00415720" w:rsidRPr="00C03A20">
        <w:rPr>
          <w:lang w:bidi="he-IL"/>
        </w:rPr>
        <w:t>, which used to mean “</w:t>
      </w:r>
      <w:r w:rsidR="000C1909">
        <w:rPr>
          <w:lang w:bidi="he-IL"/>
        </w:rPr>
        <w:t>I see</w:t>
      </w:r>
      <w:r w:rsidR="00FF4E5E">
        <w:rPr>
          <w:lang w:bidi="he-IL"/>
        </w:rPr>
        <w:t xml:space="preserve"> </w:t>
      </w:r>
      <w:r w:rsidR="00415720" w:rsidRPr="00C03A20">
        <w:rPr>
          <w:lang w:bidi="he-IL"/>
        </w:rPr>
        <w:t>no other participants in th</w:t>
      </w:r>
      <w:r w:rsidR="007768BC">
        <w:rPr>
          <w:lang w:bidi="he-IL"/>
        </w:rPr>
        <w:t>is</w:t>
      </w:r>
      <w:r w:rsidR="00415720" w:rsidRPr="00C03A20">
        <w:rPr>
          <w:lang w:bidi="he-IL"/>
        </w:rPr>
        <w:t xml:space="preserve"> situation,” nowadays </w:t>
      </w:r>
      <w:r w:rsidR="00415720">
        <w:rPr>
          <w:lang w:bidi="he-IL"/>
        </w:rPr>
        <w:t xml:space="preserve">is </w:t>
      </w:r>
      <w:r w:rsidR="002B367F">
        <w:rPr>
          <w:lang w:bidi="he-IL"/>
        </w:rPr>
        <w:t>often used</w:t>
      </w:r>
      <w:r w:rsidR="00415720" w:rsidRPr="00C03A20">
        <w:rPr>
          <w:lang w:bidi="he-IL"/>
        </w:rPr>
        <w:t xml:space="preserve"> to mean “</w:t>
      </w:r>
      <w:r w:rsidR="00FF4E5E">
        <w:rPr>
          <w:lang w:bidi="he-IL"/>
        </w:rPr>
        <w:t xml:space="preserve">There are </w:t>
      </w:r>
      <w:r w:rsidR="00415720" w:rsidRPr="00C03A20">
        <w:rPr>
          <w:lang w:bidi="he-IL"/>
        </w:rPr>
        <w:t xml:space="preserve">no </w:t>
      </w:r>
      <w:r w:rsidR="002B367F">
        <w:rPr>
          <w:lang w:bidi="he-IL"/>
        </w:rPr>
        <w:t>men</w:t>
      </w:r>
      <w:r w:rsidR="00415720" w:rsidRPr="00C03A20">
        <w:rPr>
          <w:lang w:bidi="he-IL"/>
        </w:rPr>
        <w:t xml:space="preserve"> </w:t>
      </w:r>
      <w:r w:rsidR="007768BC">
        <w:rPr>
          <w:lang w:bidi="he-IL"/>
        </w:rPr>
        <w:t>around</w:t>
      </w:r>
      <w:r w:rsidR="00415720" w:rsidRPr="00C03A20">
        <w:rPr>
          <w:lang w:bidi="he-IL"/>
        </w:rPr>
        <w:t>—only women.”</w:t>
      </w:r>
      <w:r w:rsidR="00C41971">
        <w:rPr>
          <w:lang w:bidi="he-IL"/>
        </w:rPr>
        <w:t xml:space="preserve"> </w:t>
      </w:r>
      <w:r w:rsidR="00E97D3B">
        <w:rPr>
          <w:lang w:bidi="he-IL"/>
        </w:rPr>
        <w:t xml:space="preserve">As the </w:t>
      </w:r>
      <w:r w:rsidR="00CC4D7B">
        <w:rPr>
          <w:lang w:bidi="he-IL"/>
        </w:rPr>
        <w:t xml:space="preserve">gendered </w:t>
      </w:r>
      <w:r w:rsidR="00E97D3B">
        <w:rPr>
          <w:lang w:bidi="he-IL"/>
        </w:rPr>
        <w:t xml:space="preserve">semantic content of </w:t>
      </w:r>
      <w:r w:rsidR="00E97D3B">
        <w:rPr>
          <w:i/>
          <w:iCs/>
          <w:lang w:bidi="he-IL"/>
        </w:rPr>
        <w:t>man</w:t>
      </w:r>
      <w:r w:rsidR="00E97D3B">
        <w:rPr>
          <w:lang w:bidi="he-IL"/>
        </w:rPr>
        <w:t xml:space="preserve"> has increased, it</w:t>
      </w:r>
      <w:r w:rsidR="00C41971">
        <w:rPr>
          <w:lang w:bidi="he-IL"/>
        </w:rPr>
        <w:t xml:space="preserve"> </w:t>
      </w:r>
      <w:r w:rsidR="00E97D3B">
        <w:rPr>
          <w:lang w:bidi="he-IL"/>
        </w:rPr>
        <w:t xml:space="preserve">has become less able to perform its classic </w:t>
      </w:r>
      <w:r w:rsidR="00C41971">
        <w:rPr>
          <w:lang w:bidi="he-IL"/>
        </w:rPr>
        <w:t>situati</w:t>
      </w:r>
      <w:r w:rsidR="00974066">
        <w:rPr>
          <w:lang w:bidi="he-IL"/>
        </w:rPr>
        <w:t>ng</w:t>
      </w:r>
      <w:r w:rsidR="00C41971">
        <w:rPr>
          <w:lang w:bidi="he-IL"/>
        </w:rPr>
        <w:t xml:space="preserve"> </w:t>
      </w:r>
      <w:r w:rsidR="00085D18">
        <w:rPr>
          <w:lang w:bidi="he-IL"/>
        </w:rPr>
        <w:t>task</w:t>
      </w:r>
      <w:r w:rsidR="000C1909">
        <w:rPr>
          <w:lang w:bidi="he-IL"/>
        </w:rPr>
        <w:t>; that function</w:t>
      </w:r>
      <w:r w:rsidR="00E97D3B">
        <w:rPr>
          <w:lang w:bidi="he-IL"/>
        </w:rPr>
        <w:t xml:space="preserve"> </w:t>
      </w:r>
      <w:r w:rsidR="00E93BA0">
        <w:rPr>
          <w:lang w:bidi="he-IL"/>
        </w:rPr>
        <w:t xml:space="preserve">is </w:t>
      </w:r>
      <w:r w:rsidR="000C1909">
        <w:rPr>
          <w:lang w:bidi="he-IL"/>
        </w:rPr>
        <w:t>no longer available</w:t>
      </w:r>
      <w:r w:rsidR="00E93BA0">
        <w:rPr>
          <w:lang w:bidi="he-IL"/>
        </w:rPr>
        <w:t xml:space="preserve"> </w:t>
      </w:r>
      <w:r w:rsidR="00E97D3B">
        <w:rPr>
          <w:lang w:bidi="he-IL"/>
        </w:rPr>
        <w:t>nowadays</w:t>
      </w:r>
      <w:r w:rsidR="00C41971">
        <w:rPr>
          <w:lang w:bidi="he-IL"/>
        </w:rPr>
        <w:t xml:space="preserve"> in</w:t>
      </w:r>
      <w:r w:rsidR="000C1909">
        <w:rPr>
          <w:lang w:bidi="he-IL"/>
        </w:rPr>
        <w:t xml:space="preserve"> many</w:t>
      </w:r>
      <w:r w:rsidR="00C41971">
        <w:rPr>
          <w:lang w:bidi="he-IL"/>
        </w:rPr>
        <w:t xml:space="preserve"> speech situations.</w:t>
      </w:r>
    </w:p>
    <w:p w14:paraId="5E73FC75" w14:textId="5C1F3BEE" w:rsidR="0081324B" w:rsidRPr="0081324B" w:rsidRDefault="00A46900" w:rsidP="00F34E5D">
      <w:pPr>
        <w:pStyle w:val="Standard1218justified"/>
      </w:pPr>
      <w:r>
        <w:rPr>
          <w:lang w:bidi="he-IL"/>
        </w:rPr>
        <w:t>S</w:t>
      </w:r>
      <w:r w:rsidR="00415720" w:rsidRPr="00C03A20">
        <w:rPr>
          <w:lang w:bidi="he-IL"/>
        </w:rPr>
        <w:t>uch a shift has major implications for a Bible translation</w:t>
      </w:r>
      <w:r w:rsidR="0049406E">
        <w:rPr>
          <w:lang w:bidi="he-IL"/>
        </w:rPr>
        <w:t xml:space="preserve"> </w:t>
      </w:r>
      <w:r>
        <w:rPr>
          <w:lang w:bidi="he-IL"/>
        </w:rPr>
        <w:t>that is concerned about</w:t>
      </w:r>
      <w:r w:rsidR="00415720" w:rsidRPr="00C03A20">
        <w:rPr>
          <w:lang w:bidi="he-IL"/>
        </w:rPr>
        <w:t xml:space="preserve"> gender accuracy. </w:t>
      </w:r>
      <w:r w:rsidR="003501B3">
        <w:rPr>
          <w:lang w:bidi="he-IL"/>
        </w:rPr>
        <w:t xml:space="preserve">In NJPS, </w:t>
      </w:r>
      <w:r w:rsidR="008F77E4" w:rsidRPr="00B45606">
        <w:rPr>
          <w:i/>
          <w:iCs/>
        </w:rPr>
        <w:t>man</w:t>
      </w:r>
      <w:r w:rsidR="008F77E4" w:rsidRPr="00B45606">
        <w:t xml:space="preserve"> appears 2,3</w:t>
      </w:r>
      <w:r w:rsidR="00084A91">
        <w:t>99</w:t>
      </w:r>
      <w:r w:rsidR="008F77E4" w:rsidRPr="00B45606">
        <w:t xml:space="preserve"> </w:t>
      </w:r>
      <w:r w:rsidR="003501B3" w:rsidRPr="00B45606">
        <w:t>times</w:t>
      </w:r>
      <w:r w:rsidR="008F77E4" w:rsidRPr="00B45606">
        <w:t xml:space="preserve"> (</w:t>
      </w:r>
      <w:r w:rsidR="00B15833" w:rsidRPr="00B45606">
        <w:t xml:space="preserve">counting </w:t>
      </w:r>
      <w:r w:rsidR="008F77E4" w:rsidRPr="00B45606">
        <w:t>singular and plural,</w:t>
      </w:r>
      <w:r w:rsidR="00B15833" w:rsidRPr="00B45606">
        <w:t xml:space="preserve"> but</w:t>
      </w:r>
      <w:r w:rsidR="008F77E4" w:rsidRPr="00B45606">
        <w:t xml:space="preserve"> not compounds)</w:t>
      </w:r>
      <w:r w:rsidR="0081324B">
        <w:t>; RJPS</w:t>
      </w:r>
      <w:r w:rsidR="00084A91">
        <w:t xml:space="preserve"> has replaced 1,468 of those (61%) with something else</w:t>
      </w:r>
      <w:r w:rsidR="0081324B">
        <w:t xml:space="preserve">. </w:t>
      </w:r>
      <w:r w:rsidR="00D55EB2">
        <w:t>(</w:t>
      </w:r>
      <w:r w:rsidR="0081324B">
        <w:t xml:space="preserve">At the same time, RJPS restored </w:t>
      </w:r>
      <w:r w:rsidR="00915D7E">
        <w:t>62</w:t>
      </w:r>
      <w:r w:rsidR="0081324B">
        <w:t xml:space="preserve"> instances of </w:t>
      </w:r>
      <w:r w:rsidR="0081324B">
        <w:rPr>
          <w:i/>
          <w:iCs/>
        </w:rPr>
        <w:t>man</w:t>
      </w:r>
      <w:r w:rsidR="0081324B">
        <w:t xml:space="preserve"> </w:t>
      </w:r>
      <w:r w:rsidR="00915D7E">
        <w:t xml:space="preserve">or </w:t>
      </w:r>
      <w:r w:rsidR="00915D7E">
        <w:rPr>
          <w:i/>
          <w:iCs/>
        </w:rPr>
        <w:t>men</w:t>
      </w:r>
      <w:r w:rsidR="00915D7E">
        <w:t xml:space="preserve"> </w:t>
      </w:r>
      <w:r w:rsidR="0081324B">
        <w:t>that had</w:t>
      </w:r>
      <w:r w:rsidR="00084A91">
        <w:t xml:space="preserve"> meanwhile</w:t>
      </w:r>
      <w:r w:rsidR="0081324B">
        <w:t xml:space="preserve"> been replaced in </w:t>
      </w:r>
      <w:r w:rsidR="00915D7E">
        <w:t xml:space="preserve">the first printing of </w:t>
      </w:r>
      <w:r w:rsidR="0081324B">
        <w:t>CJPS</w:t>
      </w:r>
      <w:r w:rsidR="00084A91">
        <w:t xml:space="preserve">, deeming </w:t>
      </w:r>
      <w:r w:rsidR="005433BE">
        <w:t>those</w:t>
      </w:r>
      <w:r w:rsidR="00085D18">
        <w:t xml:space="preserve"> substitutions</w:t>
      </w:r>
      <w:r w:rsidR="00084A91">
        <w:t xml:space="preserve"> to have been overcorrections</w:t>
      </w:r>
      <w:r w:rsidR="0081324B">
        <w:t>.</w:t>
      </w:r>
      <w:r w:rsidR="00D55EB2">
        <w:t>)</w:t>
      </w:r>
    </w:p>
    <w:p w14:paraId="04667AFF" w14:textId="5CB48147" w:rsidR="00497B32" w:rsidRPr="00B45606" w:rsidRDefault="00301173" w:rsidP="00F34E5D">
      <w:pPr>
        <w:pStyle w:val="Standard1218justified"/>
      </w:pPr>
      <w:r>
        <w:t>As</w:t>
      </w:r>
      <w:r w:rsidR="009A75BC" w:rsidRPr="00B45606">
        <w:t xml:space="preserve"> </w:t>
      </w:r>
      <w:r w:rsidR="0081324B">
        <w:t>the</w:t>
      </w:r>
      <w:r w:rsidR="009A75BC" w:rsidRPr="00B45606">
        <w:t xml:space="preserve"> situating power</w:t>
      </w:r>
      <w:r w:rsidR="0081324B">
        <w:t xml:space="preserve"> of </w:t>
      </w:r>
      <w:r w:rsidR="0081324B">
        <w:rPr>
          <w:i/>
          <w:iCs/>
        </w:rPr>
        <w:t>man</w:t>
      </w:r>
      <w:r w:rsidR="009A75BC" w:rsidRPr="00B45606">
        <w:t xml:space="preserve"> has become muted,</w:t>
      </w:r>
      <w:r w:rsidR="0081324B">
        <w:t xml:space="preserve"> </w:t>
      </w:r>
      <w:r w:rsidR="009A75BC" w:rsidRPr="00B45606">
        <w:t>s</w:t>
      </w:r>
      <w:r w:rsidR="00F538DD" w:rsidRPr="00B45606">
        <w:t>ome</w:t>
      </w:r>
      <w:r w:rsidR="00B4212C" w:rsidRPr="00B45606">
        <w:t xml:space="preserve"> of its</w:t>
      </w:r>
      <w:r w:rsidR="00F538DD" w:rsidRPr="00B45606">
        <w:t xml:space="preserve"> usages </w:t>
      </w:r>
      <w:r>
        <w:t>have dropped out of current parlance</w:t>
      </w:r>
      <w:r w:rsidR="009A75BC" w:rsidRPr="00B45606">
        <w:t>.</w:t>
      </w:r>
      <w:r w:rsidR="00C01F4F">
        <w:t xml:space="preserve"> </w:t>
      </w:r>
      <w:r w:rsidR="00C01F4F">
        <w:rPr>
          <w:rFonts w:asciiTheme="majorBidi" w:hAnsiTheme="majorBidi" w:cstheme="majorBidi"/>
          <w:color w:val="000000"/>
        </w:rPr>
        <w:t>NJPS employ</w:t>
      </w:r>
      <w:r w:rsidR="00196DC6">
        <w:rPr>
          <w:rFonts w:asciiTheme="majorBidi" w:hAnsiTheme="majorBidi" w:cstheme="majorBidi"/>
          <w:color w:val="000000"/>
        </w:rPr>
        <w:t>s</w:t>
      </w:r>
      <w:r w:rsidR="00C01F4F" w:rsidRPr="00C03A20">
        <w:rPr>
          <w:lang w:bidi="he-IL"/>
        </w:rPr>
        <w:t xml:space="preserve"> </w:t>
      </w:r>
      <w:r w:rsidR="00C01F4F" w:rsidRPr="00C03A20">
        <w:rPr>
          <w:i/>
          <w:iCs/>
          <w:lang w:bidi="he-IL"/>
        </w:rPr>
        <w:t>man</w:t>
      </w:r>
      <w:r w:rsidR="00C01F4F" w:rsidRPr="00C03A20">
        <w:rPr>
          <w:lang w:bidi="he-IL"/>
        </w:rPr>
        <w:t xml:space="preserve"> </w:t>
      </w:r>
      <w:r w:rsidR="00C01F4F">
        <w:rPr>
          <w:lang w:bidi="he-IL"/>
        </w:rPr>
        <w:t xml:space="preserve">about two dozen times as a label to situate (or resituate) </w:t>
      </w:r>
      <w:r w:rsidR="00C01F4F" w:rsidRPr="00C03A20">
        <w:rPr>
          <w:lang w:bidi="he-IL"/>
        </w:rPr>
        <w:t>a supernatural being</w:t>
      </w:r>
      <w:r w:rsidR="00C01F4F">
        <w:rPr>
          <w:lang w:bidi="he-IL"/>
        </w:rPr>
        <w:t>—typically</w:t>
      </w:r>
      <w:r w:rsidR="00196DC6">
        <w:rPr>
          <w:lang w:bidi="he-IL"/>
        </w:rPr>
        <w:t xml:space="preserve"> in</w:t>
      </w:r>
      <w:r w:rsidR="00C01F4F">
        <w:rPr>
          <w:lang w:bidi="he-IL"/>
        </w:rPr>
        <w:t xml:space="preserve"> a prophetic vision</w:t>
      </w:r>
      <w:r w:rsidR="00196DC6">
        <w:rPr>
          <w:lang w:bidi="he-IL"/>
        </w:rPr>
        <w:t>—</w:t>
      </w:r>
      <w:r w:rsidR="00C01F4F">
        <w:rPr>
          <w:lang w:bidi="he-IL"/>
        </w:rPr>
        <w:t xml:space="preserve">but that way of speaking is now considered </w:t>
      </w:r>
      <w:r w:rsidR="00C01F4F" w:rsidRPr="00C03A20">
        <w:rPr>
          <w:lang w:bidi="he-IL"/>
        </w:rPr>
        <w:t>obsolete</w:t>
      </w:r>
      <w:r w:rsidR="00C01F4F">
        <w:rPr>
          <w:lang w:bidi="he-IL"/>
        </w:rPr>
        <w:t>.</w:t>
      </w:r>
      <w:r w:rsidR="00C01F4F">
        <w:rPr>
          <w:rStyle w:val="FootnoteReference"/>
          <w:lang w:bidi="he-IL"/>
        </w:rPr>
        <w:footnoteReference w:id="13"/>
      </w:r>
      <w:r w:rsidR="00C01F4F">
        <w:rPr>
          <w:lang w:bidi="he-IL"/>
        </w:rPr>
        <w:t xml:space="preserve"> Similarly</w:t>
      </w:r>
      <w:r w:rsidR="00E41500">
        <w:rPr>
          <w:lang w:bidi="he-IL"/>
        </w:rPr>
        <w:t xml:space="preserve"> </w:t>
      </w:r>
      <w:r w:rsidR="00E41500" w:rsidRPr="00B45606">
        <w:rPr>
          <w:rFonts w:asciiTheme="majorBidi" w:hAnsiTheme="majorBidi" w:cstheme="majorBidi"/>
          <w:color w:val="000000"/>
        </w:rPr>
        <w:t>passé</w:t>
      </w:r>
      <w:r w:rsidR="00E41500">
        <w:rPr>
          <w:rFonts w:asciiTheme="majorBidi" w:hAnsiTheme="majorBidi" w:cstheme="majorBidi"/>
          <w:color w:val="000000"/>
        </w:rPr>
        <w:t xml:space="preserve"> is</w:t>
      </w:r>
      <w:r w:rsidR="00C01F4F">
        <w:rPr>
          <w:lang w:bidi="he-IL"/>
        </w:rPr>
        <w:t xml:space="preserve"> </w:t>
      </w:r>
      <w:r w:rsidR="00C01F4F" w:rsidRPr="00B45606">
        <w:rPr>
          <w:rFonts w:asciiTheme="majorBidi" w:hAnsiTheme="majorBidi" w:cstheme="majorBidi"/>
          <w:color w:val="000000"/>
        </w:rPr>
        <w:t xml:space="preserve">the construction </w:t>
      </w:r>
      <w:r w:rsidR="00C01F4F" w:rsidRPr="00B45606">
        <w:rPr>
          <w:rFonts w:asciiTheme="majorBidi" w:hAnsiTheme="majorBidi" w:cstheme="majorBidi"/>
          <w:i/>
          <w:iCs/>
          <w:color w:val="000000"/>
        </w:rPr>
        <w:t xml:space="preserve">man of </w:t>
      </w:r>
      <w:r w:rsidR="00916C19">
        <w:rPr>
          <w:rFonts w:asciiTheme="majorBidi" w:hAnsiTheme="majorBidi" w:cstheme="majorBidi"/>
          <w:color w:val="000000"/>
        </w:rPr>
        <w:t>{</w:t>
      </w:r>
      <w:r w:rsidR="00C01F4F" w:rsidRPr="00B45606">
        <w:rPr>
          <w:rFonts w:asciiTheme="majorBidi" w:hAnsiTheme="majorBidi" w:cstheme="majorBidi"/>
          <w:i/>
          <w:iCs/>
          <w:color w:val="000000"/>
        </w:rPr>
        <w:t>a group</w:t>
      </w:r>
      <w:r w:rsidR="00916C19">
        <w:rPr>
          <w:rFonts w:asciiTheme="majorBidi" w:hAnsiTheme="majorBidi" w:cstheme="majorBidi"/>
          <w:color w:val="000000"/>
        </w:rPr>
        <w:t>}</w:t>
      </w:r>
      <w:r w:rsidR="00C01F4F" w:rsidRPr="00B45606">
        <w:rPr>
          <w:rFonts w:asciiTheme="majorBidi" w:hAnsiTheme="majorBidi" w:cstheme="majorBidi"/>
          <w:color w:val="000000"/>
        </w:rPr>
        <w:t>, which appears a dozen times in NJPS</w:t>
      </w:r>
      <w:r w:rsidR="00196DC6">
        <w:rPr>
          <w:rFonts w:asciiTheme="majorBidi" w:hAnsiTheme="majorBidi" w:cstheme="majorBidi"/>
          <w:color w:val="000000"/>
        </w:rPr>
        <w:t xml:space="preserve"> (</w:t>
      </w:r>
      <w:r w:rsidR="00C01F4F" w:rsidRPr="00B45606">
        <w:rPr>
          <w:rFonts w:asciiTheme="majorBidi" w:hAnsiTheme="majorBidi" w:cstheme="majorBidi"/>
          <w:color w:val="000000"/>
        </w:rPr>
        <w:t>as in</w:t>
      </w:r>
      <w:r w:rsidR="00E41500">
        <w:rPr>
          <w:rFonts w:asciiTheme="majorBidi" w:hAnsiTheme="majorBidi" w:cstheme="majorBidi"/>
          <w:color w:val="000000"/>
        </w:rPr>
        <w:t xml:space="preserve"> the assurance of military victory</w:t>
      </w:r>
      <w:r w:rsidR="00C01F4F" w:rsidRPr="00B45606">
        <w:rPr>
          <w:rFonts w:asciiTheme="majorBidi" w:hAnsiTheme="majorBidi" w:cstheme="majorBidi"/>
          <w:color w:val="000000"/>
        </w:rPr>
        <w:t xml:space="preserve"> “A single man of you would put a thousand to flight</w:t>
      </w:r>
      <w:r w:rsidR="00196DC6">
        <w:rPr>
          <w:rFonts w:asciiTheme="majorBidi" w:hAnsiTheme="majorBidi" w:cstheme="majorBidi"/>
          <w:color w:val="000000"/>
        </w:rPr>
        <w:t>,</w:t>
      </w:r>
      <w:r w:rsidR="00C01F4F" w:rsidRPr="00B45606">
        <w:rPr>
          <w:rFonts w:asciiTheme="majorBidi" w:hAnsiTheme="majorBidi" w:cstheme="majorBidi"/>
          <w:color w:val="000000"/>
        </w:rPr>
        <w:t>” Josh. 23.10).</w:t>
      </w:r>
      <w:r w:rsidR="00F538DD" w:rsidRPr="00B45606">
        <w:t xml:space="preserve"> </w:t>
      </w:r>
      <w:r w:rsidR="00C01F4F" w:rsidRPr="00B45606">
        <w:rPr>
          <w:rFonts w:asciiTheme="majorBidi" w:hAnsiTheme="majorBidi" w:cstheme="majorBidi"/>
          <w:color w:val="000000"/>
        </w:rPr>
        <w:t xml:space="preserve">So, too, is </w:t>
      </w:r>
      <w:r w:rsidR="00C01F4F">
        <w:rPr>
          <w:rFonts w:asciiTheme="majorBidi" w:hAnsiTheme="majorBidi" w:cstheme="majorBidi"/>
          <w:color w:val="000000"/>
        </w:rPr>
        <w:t>t</w:t>
      </w:r>
      <w:r w:rsidR="00A46900" w:rsidRPr="00B45606">
        <w:rPr>
          <w:rFonts w:asciiTheme="majorBidi" w:hAnsiTheme="majorBidi" w:cstheme="majorBidi"/>
          <w:color w:val="000000"/>
        </w:rPr>
        <w:t>h</w:t>
      </w:r>
      <w:r w:rsidR="00D9140C" w:rsidRPr="00B45606">
        <w:rPr>
          <w:rFonts w:asciiTheme="majorBidi" w:hAnsiTheme="majorBidi" w:cstheme="majorBidi"/>
          <w:color w:val="000000"/>
        </w:rPr>
        <w:t>e</w:t>
      </w:r>
      <w:r w:rsidR="00F538DD" w:rsidRPr="00B45606">
        <w:rPr>
          <w:rFonts w:asciiTheme="majorBidi" w:hAnsiTheme="majorBidi" w:cstheme="majorBidi"/>
          <w:color w:val="000000"/>
        </w:rPr>
        <w:t xml:space="preserve"> fixed expression</w:t>
      </w:r>
      <w:r w:rsidR="00D9140C" w:rsidRPr="00B45606">
        <w:rPr>
          <w:rFonts w:asciiTheme="majorBidi" w:hAnsiTheme="majorBidi" w:cstheme="majorBidi"/>
          <w:color w:val="000000"/>
        </w:rPr>
        <w:t xml:space="preserve"> </w:t>
      </w:r>
      <w:r w:rsidR="00D9140C" w:rsidRPr="00B45606">
        <w:rPr>
          <w:rFonts w:asciiTheme="majorBidi" w:hAnsiTheme="majorBidi" w:cstheme="majorBidi"/>
          <w:i/>
          <w:iCs/>
          <w:color w:val="000000"/>
        </w:rPr>
        <w:t>to a man</w:t>
      </w:r>
      <w:r w:rsidR="00CF6D30">
        <w:rPr>
          <w:rFonts w:asciiTheme="majorBidi" w:hAnsiTheme="majorBidi" w:cstheme="majorBidi"/>
          <w:color w:val="000000"/>
        </w:rPr>
        <w:t xml:space="preserve">, </w:t>
      </w:r>
      <w:r w:rsidR="00196DC6">
        <w:rPr>
          <w:rFonts w:asciiTheme="majorBidi" w:hAnsiTheme="majorBidi" w:cstheme="majorBidi"/>
          <w:color w:val="000000"/>
        </w:rPr>
        <w:t>referring to</w:t>
      </w:r>
      <w:r w:rsidR="00196DC6" w:rsidRPr="00B45606">
        <w:rPr>
          <w:rFonts w:asciiTheme="majorBidi" w:hAnsiTheme="majorBidi" w:cstheme="majorBidi"/>
          <w:color w:val="000000"/>
        </w:rPr>
        <w:t xml:space="preserve"> every participant in </w:t>
      </w:r>
      <w:r w:rsidR="00196DC6">
        <w:rPr>
          <w:rFonts w:asciiTheme="majorBidi" w:hAnsiTheme="majorBidi" w:cstheme="majorBidi"/>
          <w:color w:val="000000"/>
        </w:rPr>
        <w:t>a</w:t>
      </w:r>
      <w:r w:rsidR="00196DC6" w:rsidRPr="00B45606">
        <w:rPr>
          <w:rFonts w:asciiTheme="majorBidi" w:hAnsiTheme="majorBidi" w:cstheme="majorBidi"/>
          <w:color w:val="000000"/>
        </w:rPr>
        <w:t xml:space="preserve"> given situation</w:t>
      </w:r>
      <w:r w:rsidR="00196DC6">
        <w:rPr>
          <w:rFonts w:asciiTheme="majorBidi" w:hAnsiTheme="majorBidi" w:cstheme="majorBidi"/>
          <w:color w:val="000000"/>
        </w:rPr>
        <w:t xml:space="preserve">, </w:t>
      </w:r>
      <w:r w:rsidR="00CF6D30">
        <w:rPr>
          <w:rFonts w:asciiTheme="majorBidi" w:hAnsiTheme="majorBidi" w:cstheme="majorBidi"/>
          <w:color w:val="000000"/>
        </w:rPr>
        <w:t>which appears</w:t>
      </w:r>
      <w:r>
        <w:rPr>
          <w:rFonts w:asciiTheme="majorBidi" w:hAnsiTheme="majorBidi" w:cstheme="majorBidi"/>
          <w:color w:val="000000"/>
        </w:rPr>
        <w:t xml:space="preserve"> seven times in NJPS</w:t>
      </w:r>
      <w:r w:rsidR="00196DC6">
        <w:rPr>
          <w:rFonts w:asciiTheme="majorBidi" w:hAnsiTheme="majorBidi" w:cstheme="majorBidi"/>
          <w:color w:val="000000"/>
        </w:rPr>
        <w:t xml:space="preserve"> (as when</w:t>
      </w:r>
      <w:r w:rsidR="00196DC6" w:rsidRPr="00B45606">
        <w:rPr>
          <w:rFonts w:asciiTheme="majorBidi" w:hAnsiTheme="majorBidi" w:cstheme="majorBidi"/>
          <w:color w:val="000000"/>
        </w:rPr>
        <w:t xml:space="preserve"> </w:t>
      </w:r>
      <w:r w:rsidR="00196DC6">
        <w:rPr>
          <w:rFonts w:asciiTheme="majorBidi" w:hAnsiTheme="majorBidi" w:cstheme="majorBidi"/>
          <w:color w:val="000000"/>
        </w:rPr>
        <w:t>G</w:t>
      </w:r>
      <w:r w:rsidR="00196DC6">
        <w:rPr>
          <w:rFonts w:asciiTheme="majorBidi" w:hAnsiTheme="majorBidi" w:cstheme="majorBidi"/>
          <w:smallCaps/>
          <w:color w:val="000000"/>
        </w:rPr>
        <w:t>od</w:t>
      </w:r>
      <w:r w:rsidR="00196DC6">
        <w:rPr>
          <w:rFonts w:asciiTheme="majorBidi" w:hAnsiTheme="majorBidi" w:cstheme="majorBidi"/>
          <w:color w:val="000000"/>
        </w:rPr>
        <w:t xml:space="preserve"> </w:t>
      </w:r>
      <w:r w:rsidR="00916C19">
        <w:rPr>
          <w:rFonts w:asciiTheme="majorBidi" w:hAnsiTheme="majorBidi" w:cstheme="majorBidi"/>
          <w:color w:val="000000"/>
        </w:rPr>
        <w:t>tells</w:t>
      </w:r>
      <w:r w:rsidR="00196DC6">
        <w:rPr>
          <w:rFonts w:asciiTheme="majorBidi" w:hAnsiTheme="majorBidi" w:cstheme="majorBidi"/>
          <w:color w:val="000000"/>
        </w:rPr>
        <w:t xml:space="preserve"> Gideon</w:t>
      </w:r>
      <w:r w:rsidR="00196DC6" w:rsidRPr="00B45606">
        <w:rPr>
          <w:rFonts w:asciiTheme="majorBidi" w:hAnsiTheme="majorBidi" w:cstheme="majorBidi"/>
          <w:color w:val="000000"/>
        </w:rPr>
        <w:t xml:space="preserve"> </w:t>
      </w:r>
      <w:proofErr w:type="gramStart"/>
      <w:r w:rsidR="00196DC6" w:rsidRPr="00B45606">
        <w:rPr>
          <w:rFonts w:asciiTheme="majorBidi" w:hAnsiTheme="majorBidi" w:cstheme="majorBidi"/>
          <w:color w:val="000000"/>
        </w:rPr>
        <w:t>“</w:t>
      </w:r>
      <w:r w:rsidR="00196DC6">
        <w:rPr>
          <w:rFonts w:asciiTheme="majorBidi" w:hAnsiTheme="majorBidi" w:cstheme="majorBidi"/>
          <w:color w:val="000000"/>
        </w:rPr>
        <w:t>you</w:t>
      </w:r>
      <w:proofErr w:type="gramEnd"/>
      <w:r w:rsidR="00196DC6">
        <w:rPr>
          <w:rFonts w:asciiTheme="majorBidi" w:hAnsiTheme="majorBidi" w:cstheme="majorBidi"/>
          <w:color w:val="000000"/>
        </w:rPr>
        <w:t xml:space="preserve"> shall defeat Midian</w:t>
      </w:r>
      <w:r w:rsidR="00196DC6" w:rsidRPr="00B45606">
        <w:rPr>
          <w:rFonts w:asciiTheme="majorBidi" w:hAnsiTheme="majorBidi" w:cstheme="majorBidi"/>
          <w:color w:val="000000"/>
        </w:rPr>
        <w:t xml:space="preserve"> to a </w:t>
      </w:r>
      <w:r w:rsidR="00196DC6" w:rsidRPr="00B45606">
        <w:rPr>
          <w:rFonts w:asciiTheme="majorBidi" w:hAnsiTheme="majorBidi" w:cstheme="majorBidi"/>
          <w:iCs/>
          <w:color w:val="000000"/>
        </w:rPr>
        <w:t>man</w:t>
      </w:r>
      <w:r w:rsidR="00196DC6">
        <w:rPr>
          <w:rFonts w:asciiTheme="majorBidi" w:hAnsiTheme="majorBidi" w:cstheme="majorBidi"/>
          <w:iCs/>
          <w:color w:val="000000"/>
        </w:rPr>
        <w:t>,</w:t>
      </w:r>
      <w:r w:rsidR="00196DC6" w:rsidRPr="00B45606">
        <w:rPr>
          <w:rFonts w:asciiTheme="majorBidi" w:hAnsiTheme="majorBidi" w:cstheme="majorBidi"/>
          <w:color w:val="000000"/>
        </w:rPr>
        <w:t>”</w:t>
      </w:r>
      <w:r w:rsidR="00196DC6" w:rsidRPr="00B45606">
        <w:rPr>
          <w:rFonts w:asciiTheme="majorBidi" w:hAnsiTheme="majorBidi" w:cstheme="majorBidi"/>
        </w:rPr>
        <w:t xml:space="preserve"> </w:t>
      </w:r>
      <w:r w:rsidR="00196DC6">
        <w:rPr>
          <w:rFonts w:asciiTheme="majorBidi" w:hAnsiTheme="majorBidi" w:cstheme="majorBidi"/>
          <w:color w:val="000000"/>
        </w:rPr>
        <w:t>Judg. 6.16</w:t>
      </w:r>
      <w:r w:rsidR="00196DC6" w:rsidRPr="00B45606">
        <w:rPr>
          <w:rFonts w:asciiTheme="majorBidi" w:hAnsiTheme="majorBidi" w:cstheme="majorBidi"/>
          <w:color w:val="000000"/>
        </w:rPr>
        <w:t>)</w:t>
      </w:r>
      <w:r w:rsidRPr="00B45606">
        <w:rPr>
          <w:rFonts w:asciiTheme="majorBidi" w:hAnsiTheme="majorBidi" w:cstheme="majorBidi"/>
          <w:color w:val="000000"/>
        </w:rPr>
        <w:t>.</w:t>
      </w:r>
      <w:r w:rsidR="00726E58">
        <w:rPr>
          <w:rStyle w:val="FootnoteReference"/>
          <w:rFonts w:asciiTheme="majorBidi" w:hAnsiTheme="majorBidi" w:cstheme="majorBidi"/>
          <w:color w:val="000000"/>
        </w:rPr>
        <w:footnoteReference w:id="14"/>
      </w:r>
      <w:r w:rsidR="00726E58" w:rsidRPr="00B45606">
        <w:t xml:space="preserve"> </w:t>
      </w:r>
    </w:p>
    <w:p w14:paraId="16038A98" w14:textId="47F00A5D" w:rsidR="005B3648" w:rsidRDefault="00E45864" w:rsidP="003B642D">
      <w:pPr>
        <w:pStyle w:val="Standard1218justified"/>
        <w:rPr>
          <w:lang w:bidi="he-IL"/>
        </w:rPr>
      </w:pPr>
      <w:r>
        <w:rPr>
          <w:lang w:bidi="he-IL"/>
        </w:rPr>
        <w:t>Meanwhile, i</w:t>
      </w:r>
      <w:r w:rsidR="00D61D3A">
        <w:rPr>
          <w:lang w:bidi="he-IL"/>
        </w:rPr>
        <w:t>n far more cases,</w:t>
      </w:r>
      <w:r w:rsidR="008A1D0B">
        <w:rPr>
          <w:lang w:bidi="he-IL"/>
        </w:rPr>
        <w:t xml:space="preserve"> </w:t>
      </w:r>
      <w:r w:rsidR="00D61D3A">
        <w:rPr>
          <w:lang w:bidi="he-IL"/>
        </w:rPr>
        <w:t xml:space="preserve">the impact of the rapidly changing meaning of </w:t>
      </w:r>
      <w:r w:rsidR="00D61D3A">
        <w:rPr>
          <w:i/>
          <w:iCs/>
          <w:lang w:bidi="he-IL"/>
        </w:rPr>
        <w:t>man</w:t>
      </w:r>
      <w:r w:rsidR="00D61D3A">
        <w:rPr>
          <w:lang w:bidi="he-IL"/>
        </w:rPr>
        <w:t xml:space="preserve"> is less predictable. </w:t>
      </w:r>
      <w:r w:rsidR="00D334A7">
        <w:rPr>
          <w:lang w:bidi="he-IL"/>
        </w:rPr>
        <w:t xml:space="preserve">For </w:t>
      </w:r>
      <w:r w:rsidR="00D55EB2">
        <w:rPr>
          <w:lang w:bidi="he-IL"/>
        </w:rPr>
        <w:t>more than seven centuries</w:t>
      </w:r>
      <w:r w:rsidR="00D334A7">
        <w:rPr>
          <w:lang w:bidi="he-IL"/>
        </w:rPr>
        <w:t>, this noun’s</w:t>
      </w:r>
      <w:r w:rsidR="00D61D3A">
        <w:rPr>
          <w:lang w:bidi="he-IL"/>
        </w:rPr>
        <w:t xml:space="preserve"> gender implications have been </w:t>
      </w:r>
      <w:r w:rsidR="00BB00FA">
        <w:rPr>
          <w:lang w:bidi="he-IL"/>
        </w:rPr>
        <w:t>a function</w:t>
      </w:r>
      <w:r w:rsidR="00F1308C">
        <w:rPr>
          <w:lang w:bidi="he-IL"/>
        </w:rPr>
        <w:t xml:space="preserve"> both</w:t>
      </w:r>
      <w:r w:rsidR="00BB00FA">
        <w:rPr>
          <w:lang w:bidi="he-IL"/>
        </w:rPr>
        <w:t xml:space="preserve"> of</w:t>
      </w:r>
      <w:r w:rsidR="004263E3">
        <w:rPr>
          <w:lang w:bidi="he-IL"/>
        </w:rPr>
        <w:t xml:space="preserve"> the grammatical construction </w:t>
      </w:r>
      <w:r w:rsidR="005B3648">
        <w:rPr>
          <w:lang w:bidi="he-IL"/>
        </w:rPr>
        <w:t xml:space="preserve">in which </w:t>
      </w:r>
      <w:r w:rsidR="00D334A7">
        <w:rPr>
          <w:lang w:bidi="he-IL"/>
        </w:rPr>
        <w:t>it</w:t>
      </w:r>
      <w:r w:rsidR="005B3648">
        <w:rPr>
          <w:lang w:bidi="he-IL"/>
        </w:rPr>
        <w:t xml:space="preserve"> is embedded, </w:t>
      </w:r>
      <w:r w:rsidR="004263E3">
        <w:rPr>
          <w:lang w:bidi="he-IL"/>
        </w:rPr>
        <w:t>and</w:t>
      </w:r>
      <w:r w:rsidR="005B3648">
        <w:rPr>
          <w:lang w:bidi="he-IL"/>
        </w:rPr>
        <w:t xml:space="preserve"> of</w:t>
      </w:r>
      <w:r w:rsidR="004263E3">
        <w:rPr>
          <w:lang w:bidi="he-IL"/>
        </w:rPr>
        <w:t xml:space="preserve"> the context of use</w:t>
      </w:r>
      <w:r w:rsidR="005B3648">
        <w:rPr>
          <w:lang w:bidi="he-IL"/>
        </w:rPr>
        <w:t xml:space="preserve"> for the utterance</w:t>
      </w:r>
      <w:r w:rsidR="004263E3">
        <w:rPr>
          <w:lang w:bidi="he-IL"/>
        </w:rPr>
        <w:t xml:space="preserve">. </w:t>
      </w:r>
      <w:r w:rsidR="00F43932">
        <w:rPr>
          <w:lang w:bidi="he-IL"/>
        </w:rPr>
        <w:t>W</w:t>
      </w:r>
      <w:r w:rsidR="00D61D3A">
        <w:rPr>
          <w:lang w:bidi="he-IL"/>
        </w:rPr>
        <w:t xml:space="preserve">hether a given NJPS usage of </w:t>
      </w:r>
      <w:r w:rsidR="00D61D3A">
        <w:rPr>
          <w:i/>
          <w:iCs/>
          <w:lang w:bidi="he-IL"/>
        </w:rPr>
        <w:t>man</w:t>
      </w:r>
      <w:r w:rsidR="00D61D3A">
        <w:rPr>
          <w:lang w:bidi="he-IL"/>
        </w:rPr>
        <w:t xml:space="preserve"> works </w:t>
      </w:r>
      <w:r w:rsidR="00F43932">
        <w:rPr>
          <w:lang w:bidi="he-IL"/>
        </w:rPr>
        <w:t>nowa</w:t>
      </w:r>
      <w:r w:rsidR="00D61D3A">
        <w:rPr>
          <w:lang w:bidi="he-IL"/>
        </w:rPr>
        <w:t>day</w:t>
      </w:r>
      <w:r w:rsidR="00F43932">
        <w:rPr>
          <w:lang w:bidi="he-IL"/>
        </w:rPr>
        <w:t>s</w:t>
      </w:r>
      <w:r w:rsidR="00D61D3A">
        <w:rPr>
          <w:lang w:bidi="he-IL"/>
        </w:rPr>
        <w:t xml:space="preserve"> </w:t>
      </w:r>
      <w:r w:rsidR="00726E58">
        <w:rPr>
          <w:lang w:bidi="he-IL"/>
        </w:rPr>
        <w:t xml:space="preserve">still </w:t>
      </w:r>
      <w:r w:rsidR="005B3648">
        <w:rPr>
          <w:lang w:bidi="he-IL"/>
        </w:rPr>
        <w:t>depends upon those same factors.</w:t>
      </w:r>
      <w:r w:rsidR="00D61D3A">
        <w:rPr>
          <w:lang w:bidi="he-IL"/>
        </w:rPr>
        <w:t xml:space="preserve"> </w:t>
      </w:r>
    </w:p>
    <w:p w14:paraId="08A4751C" w14:textId="3F99A0F4" w:rsidR="003B642D" w:rsidRPr="00B45606" w:rsidRDefault="008F77E4" w:rsidP="003B642D">
      <w:pPr>
        <w:pStyle w:val="Standard1218justified"/>
        <w:rPr>
          <w:lang w:bidi="he-IL"/>
        </w:rPr>
      </w:pPr>
      <w:r w:rsidRPr="00B45606">
        <w:t xml:space="preserve">In </w:t>
      </w:r>
      <w:r w:rsidR="00F538DD" w:rsidRPr="00B45606">
        <w:t>many</w:t>
      </w:r>
      <w:r w:rsidRPr="00B45606">
        <w:t xml:space="preserve"> </w:t>
      </w:r>
      <w:r w:rsidR="00D61D3A">
        <w:t>instances</w:t>
      </w:r>
      <w:r w:rsidR="00726E58">
        <w:t xml:space="preserve"> in NJPS</w:t>
      </w:r>
      <w:r w:rsidRPr="00B45606">
        <w:t xml:space="preserve">, </w:t>
      </w:r>
      <w:r w:rsidR="005B3648">
        <w:t>the</w:t>
      </w:r>
      <w:r w:rsidR="00BB00FA" w:rsidRPr="00B45606">
        <w:t xml:space="preserve"> usage</w:t>
      </w:r>
      <w:r w:rsidR="005B3648">
        <w:t xml:space="preserve"> of </w:t>
      </w:r>
      <w:r w:rsidR="005B3648">
        <w:rPr>
          <w:i/>
          <w:iCs/>
        </w:rPr>
        <w:t>man</w:t>
      </w:r>
      <w:r w:rsidR="00BB00FA" w:rsidRPr="00B45606">
        <w:t xml:space="preserve"> now</w:t>
      </w:r>
      <w:r w:rsidR="00B94839" w:rsidRPr="00B45606">
        <w:t xml:space="preserve"> </w:t>
      </w:r>
      <w:r w:rsidR="00E72FA9" w:rsidRPr="00B45606">
        <w:t>evokes</w:t>
      </w:r>
      <w:r w:rsidR="00B94839" w:rsidRPr="00B45606">
        <w:t xml:space="preserve"> an emphasis on</w:t>
      </w:r>
      <w:r w:rsidR="00AF21D0" w:rsidRPr="00B45606">
        <w:t xml:space="preserve"> (masculine)</w:t>
      </w:r>
      <w:r w:rsidR="00B94839" w:rsidRPr="00B45606">
        <w:t xml:space="preserve"> gender that </w:t>
      </w:r>
      <w:r w:rsidR="00E72FA9" w:rsidRPr="00B45606">
        <w:t>did</w:t>
      </w:r>
      <w:r w:rsidR="00B94839" w:rsidRPr="00B45606">
        <w:t xml:space="preserve"> not exist in the Hebrew text—and therefore</w:t>
      </w:r>
      <w:r w:rsidR="001C1139" w:rsidRPr="00B45606">
        <w:t xml:space="preserve"> </w:t>
      </w:r>
      <w:r w:rsidR="001C1139" w:rsidRPr="00B45606">
        <w:rPr>
          <w:i/>
          <w:iCs/>
        </w:rPr>
        <w:t>man</w:t>
      </w:r>
      <w:r w:rsidR="00B94839" w:rsidRPr="00B45606">
        <w:t xml:space="preserve"> </w:t>
      </w:r>
      <w:r w:rsidR="00ED00EE" w:rsidRPr="00B45606">
        <w:t>over</w:t>
      </w:r>
      <w:r w:rsidR="00B94839" w:rsidRPr="00B45606">
        <w:t xml:space="preserve">represents </w:t>
      </w:r>
      <w:r w:rsidR="00ED00EE" w:rsidRPr="00B45606">
        <w:t xml:space="preserve">gender as </w:t>
      </w:r>
      <w:r w:rsidR="00ED00EE" w:rsidRPr="00B45606">
        <w:lastRenderedPageBreak/>
        <w:t>a</w:t>
      </w:r>
      <w:r w:rsidR="001C1139" w:rsidRPr="00B45606">
        <w:t xml:space="preserve"> matter of</w:t>
      </w:r>
      <w:r w:rsidR="00ED00EE" w:rsidRPr="00B45606">
        <w:t xml:space="preserve"> concern</w:t>
      </w:r>
      <w:r w:rsidR="00B94839" w:rsidRPr="00B45606">
        <w:t>.</w:t>
      </w:r>
      <w:r w:rsidR="00151C91" w:rsidRPr="00B45606">
        <w:t xml:space="preserve"> </w:t>
      </w:r>
      <w:r w:rsidR="00BB00FA" w:rsidRPr="00B45606">
        <w:t>Consequently, t</w:t>
      </w:r>
      <w:r w:rsidR="00D24EA6" w:rsidRPr="00B45606">
        <w:t>he communicat</w:t>
      </w:r>
      <w:r w:rsidR="00CF6D30">
        <w:t>iv</w:t>
      </w:r>
      <w:r w:rsidR="00D24EA6" w:rsidRPr="00B45606">
        <w:t xml:space="preserve">e efficiency of </w:t>
      </w:r>
      <w:r w:rsidR="00D24EA6" w:rsidRPr="00B45606">
        <w:rPr>
          <w:i/>
          <w:iCs/>
        </w:rPr>
        <w:t>man</w:t>
      </w:r>
      <w:r w:rsidR="00D24EA6" w:rsidRPr="00B45606">
        <w:t xml:space="preserve"> for situating purposes</w:t>
      </w:r>
      <w:r w:rsidR="00AF21D0" w:rsidRPr="00B45606">
        <w:t xml:space="preserve"> </w:t>
      </w:r>
      <w:r w:rsidR="00ED00EE" w:rsidRPr="00B45606">
        <w:t xml:space="preserve">can </w:t>
      </w:r>
      <w:r w:rsidR="00D24EA6" w:rsidRPr="00B45606">
        <w:t>conflict with the</w:t>
      </w:r>
      <w:r w:rsidR="00940C5F" w:rsidRPr="00B45606">
        <w:t xml:space="preserve"> translator’s</w:t>
      </w:r>
      <w:r w:rsidR="00D24EA6" w:rsidRPr="00B45606">
        <w:t xml:space="preserve"> responsibility </w:t>
      </w:r>
      <w:r w:rsidR="00ED00EE" w:rsidRPr="00B45606">
        <w:t>to achieve</w:t>
      </w:r>
      <w:r w:rsidR="00D24EA6" w:rsidRPr="00B45606">
        <w:t xml:space="preserve"> gender</w:t>
      </w:r>
      <w:r w:rsidR="00ED00EE" w:rsidRPr="00B45606">
        <w:t xml:space="preserve"> accuracy</w:t>
      </w:r>
      <w:r w:rsidR="00D24EA6" w:rsidRPr="00B45606">
        <w:t xml:space="preserve">. </w:t>
      </w:r>
      <w:r w:rsidR="00AF21D0" w:rsidRPr="00B45606">
        <w:t>T</w:t>
      </w:r>
      <w:r w:rsidR="00AF21D0">
        <w:t>his</w:t>
      </w:r>
      <w:r w:rsidR="00A00CAC">
        <w:t xml:space="preserve"> means that</w:t>
      </w:r>
      <w:r w:rsidR="003B642D">
        <w:t xml:space="preserve"> e</w:t>
      </w:r>
      <w:r w:rsidR="008055DF">
        <w:rPr>
          <w:lang w:bidi="he-IL"/>
        </w:rPr>
        <w:t>ach instance</w:t>
      </w:r>
      <w:r w:rsidR="00F1308C">
        <w:rPr>
          <w:lang w:bidi="he-IL"/>
        </w:rPr>
        <w:t xml:space="preserve"> of personal reference</w:t>
      </w:r>
      <w:r w:rsidR="008055DF">
        <w:rPr>
          <w:lang w:bidi="he-IL"/>
        </w:rPr>
        <w:t xml:space="preserve"> </w:t>
      </w:r>
      <w:r w:rsidR="00A00CAC">
        <w:rPr>
          <w:lang w:bidi="he-IL"/>
        </w:rPr>
        <w:t>must</w:t>
      </w:r>
      <w:r w:rsidR="008055DF">
        <w:rPr>
          <w:lang w:bidi="he-IL"/>
        </w:rPr>
        <w:t xml:space="preserve"> be weighed on its own merits. </w:t>
      </w:r>
      <w:r w:rsidR="00D55EB2">
        <w:t>Accordingly, t</w:t>
      </w:r>
      <w:r w:rsidR="006A2F00" w:rsidRPr="00B45606">
        <w:t xml:space="preserve">he next section discusses </w:t>
      </w:r>
      <w:r w:rsidR="00F1308C">
        <w:t>the</w:t>
      </w:r>
      <w:r w:rsidR="006A2F00" w:rsidRPr="00B45606">
        <w:t xml:space="preserve"> evaluation process</w:t>
      </w:r>
      <w:r w:rsidR="00F1308C">
        <w:t xml:space="preserve"> for all Hebrew terms</w:t>
      </w:r>
      <w:r w:rsidR="00BB00FA" w:rsidRPr="00B45606">
        <w:t xml:space="preserve"> </w:t>
      </w:r>
      <w:r w:rsidR="00D334A7">
        <w:t>that refer to</w:t>
      </w:r>
      <w:r w:rsidR="00BB00FA" w:rsidRPr="00B45606">
        <w:t xml:space="preserve"> </w:t>
      </w:r>
      <w:r w:rsidR="00D334A7">
        <w:t>persons</w:t>
      </w:r>
      <w:r w:rsidR="00ED00EE" w:rsidRPr="00B45606">
        <w:t>.</w:t>
      </w:r>
      <w:r w:rsidR="00ED00EE" w:rsidRPr="00B45606">
        <w:rPr>
          <w:rStyle w:val="FootnoteReference"/>
        </w:rPr>
        <w:footnoteReference w:id="15"/>
      </w:r>
    </w:p>
    <w:p w14:paraId="39F0D186" w14:textId="66A2E46F" w:rsidR="00E57E0D" w:rsidRDefault="00E57E0D" w:rsidP="003B642D">
      <w:pPr>
        <w:pStyle w:val="Standard1218justified"/>
        <w:rPr>
          <w:lang w:bidi="he-IL"/>
        </w:rPr>
      </w:pPr>
    </w:p>
    <w:p w14:paraId="40D471D1" w14:textId="77777777" w:rsidR="00B849ED" w:rsidRPr="00B45606" w:rsidRDefault="00B849ED" w:rsidP="00CA33E6">
      <w:pPr>
        <w:pBdr>
          <w:top w:val="nil"/>
          <w:left w:val="nil"/>
          <w:bottom w:val="nil"/>
          <w:right w:val="nil"/>
          <w:between w:val="nil"/>
        </w:pBdr>
        <w:rPr>
          <w:rFonts w:asciiTheme="majorBidi" w:hAnsiTheme="majorBidi" w:cstheme="majorBidi"/>
          <w:color w:val="000000"/>
          <w:szCs w:val="24"/>
        </w:rPr>
      </w:pPr>
    </w:p>
    <w:p w14:paraId="1D660767" w14:textId="74995027" w:rsidR="00E87DEF" w:rsidRDefault="00B849ED" w:rsidP="001A1351">
      <w:pPr>
        <w:pStyle w:val="Heading2"/>
      </w:pPr>
      <w:r w:rsidRPr="00B45606">
        <w:t>R</w:t>
      </w:r>
      <w:r>
        <w:t>EFERENCES TO HUMAN BEINGS</w:t>
      </w:r>
    </w:p>
    <w:p w14:paraId="62532B30" w14:textId="6A26D1BD" w:rsidR="00A74028" w:rsidRPr="00B45606" w:rsidRDefault="00A74028" w:rsidP="00A74028">
      <w:pPr>
        <w:pStyle w:val="StandardFL"/>
      </w:pPr>
      <w:r w:rsidRPr="00B45606">
        <w:t>A</w:t>
      </w:r>
      <w:r>
        <w:t xml:space="preserve">s noted, in order to take proper account of gender-related changes in English, </w:t>
      </w:r>
      <w:r w:rsidR="006C4DAF">
        <w:t>it is necessary to</w:t>
      </w:r>
      <w:r>
        <w:t xml:space="preserve"> revisit all referring expressions</w:t>
      </w:r>
      <w:r w:rsidR="00D007FD">
        <w:t xml:space="preserve"> in the original Hebrew text</w:t>
      </w:r>
      <w:r>
        <w:t xml:space="preserve"> </w:t>
      </w:r>
      <w:r w:rsidR="006C4DAF">
        <w:t>that were not female oriented</w:t>
      </w:r>
      <w:r>
        <w:t>. T</w:t>
      </w:r>
      <w:r w:rsidRPr="00D70B87">
        <w:t xml:space="preserve">he </w:t>
      </w:r>
      <w:r w:rsidR="00834EA4">
        <w:t>referring expressions</w:t>
      </w:r>
      <w:r w:rsidRPr="00D70B87">
        <w:t xml:space="preserve"> of concern are </w:t>
      </w:r>
      <w:r w:rsidR="00834EA4">
        <w:t>of two overlapping types: one</w:t>
      </w:r>
      <w:r w:rsidRPr="00D70B87">
        <w:t xml:space="preserve"> </w:t>
      </w:r>
      <w:r w:rsidR="00834EA4">
        <w:t>shows</w:t>
      </w:r>
      <w:r w:rsidRPr="00D70B87">
        <w:t xml:space="preserve"> a grammatically masculine inflection, </w:t>
      </w:r>
      <w:r w:rsidR="00834EA4">
        <w:t>and the other employs</w:t>
      </w:r>
      <w:r w:rsidRPr="00D70B87">
        <w:t xml:space="preserve"> a noun label that has a female counterpart term</w:t>
      </w:r>
      <w:r w:rsidR="000E5482">
        <w:t xml:space="preserve"> (e.g., </w:t>
      </w:r>
      <w:r w:rsidR="000E5482" w:rsidRPr="00753BFF">
        <w:rPr>
          <w:rFonts w:ascii="SBL BibLit" w:hAnsi="SBL BibLit" w:cs="SBL BibLit" w:hint="cs"/>
          <w:color w:val="000000"/>
          <w:rtl/>
          <w:lang w:bidi="he-IL"/>
        </w:rPr>
        <w:t>אָח</w:t>
      </w:r>
      <w:r w:rsidR="000E5482">
        <w:t xml:space="preserve">, commonly glossed as “brother,” whose counterpart term is </w:t>
      </w:r>
      <w:proofErr w:type="spellStart"/>
      <w:r w:rsidR="001B2C92" w:rsidRPr="001B2C92">
        <w:rPr>
          <w:rFonts w:ascii="SBL BibLit" w:hAnsi="SBL BibLit" w:cs="SBL BibLit" w:hint="cs"/>
          <w:color w:val="000000"/>
          <w:rtl/>
        </w:rPr>
        <w:t>אָחוֹת</w:t>
      </w:r>
      <w:proofErr w:type="spellEnd"/>
      <w:r w:rsidR="000E5482">
        <w:t>, “sister”)</w:t>
      </w:r>
      <w:r w:rsidRPr="00D70B87">
        <w:t xml:space="preserve">. </w:t>
      </w:r>
      <w:r w:rsidR="008C617E">
        <w:t>T</w:t>
      </w:r>
      <w:r w:rsidR="00BA3081">
        <w:t>he decision as to</w:t>
      </w:r>
      <w:r w:rsidRPr="00D70B87">
        <w:t xml:space="preserve"> whether </w:t>
      </w:r>
      <w:r w:rsidR="00834EA4">
        <w:t>to</w:t>
      </w:r>
      <w:r w:rsidRPr="00D70B87">
        <w:t xml:space="preserve"> render</w:t>
      </w:r>
      <w:r w:rsidR="008C617E">
        <w:t xml:space="preserve"> them</w:t>
      </w:r>
      <w:r w:rsidRPr="00D70B87">
        <w:t xml:space="preserve"> in gender-neutral terms</w:t>
      </w:r>
      <w:r w:rsidR="00BA3081">
        <w:t xml:space="preserve"> relies on</w:t>
      </w:r>
      <w:r w:rsidRPr="00D70B87">
        <w:t xml:space="preserve"> </w:t>
      </w:r>
      <w:r w:rsidR="00074800">
        <w:t>several</w:t>
      </w:r>
      <w:r w:rsidR="00074800" w:rsidRPr="00D70B87">
        <w:t xml:space="preserve"> </w:t>
      </w:r>
      <w:r w:rsidRPr="00D70B87">
        <w:t>factors</w:t>
      </w:r>
      <w:r w:rsidR="004E0057">
        <w:t xml:space="preserve">. </w:t>
      </w:r>
      <w:r w:rsidR="00C84F4E">
        <w:t>Some</w:t>
      </w:r>
      <w:r w:rsidR="00074800">
        <w:t xml:space="preserve"> of them</w:t>
      </w:r>
      <w:r w:rsidR="004E0057">
        <w:t xml:space="preserve"> </w:t>
      </w:r>
      <w:r w:rsidR="00C84F4E">
        <w:t>are</w:t>
      </w:r>
      <w:r w:rsidR="004E0057">
        <w:t xml:space="preserve"> </w:t>
      </w:r>
      <w:r w:rsidR="008C617E">
        <w:t xml:space="preserve">applied in a </w:t>
      </w:r>
      <w:r w:rsidR="004E0057">
        <w:t>fairly straightforward</w:t>
      </w:r>
      <w:r w:rsidR="008C617E">
        <w:t xml:space="preserve"> manner. F</w:t>
      </w:r>
      <w:r w:rsidR="00C84F4E">
        <w:t>or example,</w:t>
      </w:r>
      <w:r w:rsidR="004E0057">
        <w:t xml:space="preserve"> if the speaker is making an issue of </w:t>
      </w:r>
      <w:r w:rsidR="004E0057" w:rsidRPr="00D70B87">
        <w:t>the referent</w:t>
      </w:r>
      <w:r w:rsidR="004E0057" w:rsidRPr="00B45606">
        <w:t>’s s</w:t>
      </w:r>
      <w:r w:rsidR="004E0057" w:rsidRPr="00D70B87">
        <w:t>ocial gender</w:t>
      </w:r>
      <w:r w:rsidR="004E0057">
        <w:t>, then a gendered rendering is probably warranted.</w:t>
      </w:r>
      <w:r w:rsidR="00074800">
        <w:t xml:space="preserve"> </w:t>
      </w:r>
      <w:r w:rsidR="00C84F4E">
        <w:t>Certain</w:t>
      </w:r>
      <w:r w:rsidR="00074800">
        <w:t xml:space="preserve"> other factors, however, </w:t>
      </w:r>
      <w:r w:rsidR="008C617E">
        <w:t>require</w:t>
      </w:r>
      <w:r w:rsidR="00074800">
        <w:t xml:space="preserve"> </w:t>
      </w:r>
      <w:r w:rsidR="008C617E">
        <w:t>more nuance</w:t>
      </w:r>
      <w:r w:rsidR="00C84F4E">
        <w:t>—</w:t>
      </w:r>
      <w:r w:rsidR="001E740A">
        <w:t xml:space="preserve">and </w:t>
      </w:r>
      <w:r w:rsidR="00C84F4E">
        <w:t>t</w:t>
      </w:r>
      <w:r w:rsidR="00074800">
        <w:t xml:space="preserve">hey will now be discussed in turn. </w:t>
      </w:r>
    </w:p>
    <w:p w14:paraId="59F57312" w14:textId="77777777" w:rsidR="00A74028" w:rsidRDefault="00A74028" w:rsidP="00A74028">
      <w:pPr>
        <w:pStyle w:val="StandardFL"/>
      </w:pPr>
    </w:p>
    <w:p w14:paraId="65AE6904" w14:textId="34D40758" w:rsidR="00F00BBB" w:rsidRPr="00B45606" w:rsidRDefault="00F00BBB" w:rsidP="00A74028">
      <w:pPr>
        <w:pStyle w:val="Heading3"/>
      </w:pPr>
      <w:r w:rsidRPr="00B45606">
        <w:t>Referential Gender</w:t>
      </w:r>
      <w:r w:rsidR="00A45DA4" w:rsidRPr="00B45606">
        <w:t xml:space="preserve"> </w:t>
      </w:r>
      <w:r w:rsidR="004C0540">
        <w:t>and Specificity</w:t>
      </w:r>
    </w:p>
    <w:p w14:paraId="62BC2B05" w14:textId="63B6BE06" w:rsidR="00FE4C52" w:rsidRDefault="003A1D39" w:rsidP="00A74028">
      <w:pPr>
        <w:pStyle w:val="StandardFL"/>
      </w:pPr>
      <w:r>
        <w:t>In Biblical Hebrew, w</w:t>
      </w:r>
      <w:r w:rsidR="00A45DA4" w:rsidRPr="00B45606">
        <w:t>hen</w:t>
      </w:r>
      <w:r w:rsidR="007F231C">
        <w:t>ever</w:t>
      </w:r>
      <w:r w:rsidR="00A45DA4" w:rsidRPr="00B45606">
        <w:t xml:space="preserve"> a reference is not to a </w:t>
      </w:r>
      <w:r w:rsidR="00A45DA4" w:rsidRPr="00B45606">
        <w:rPr>
          <w:i/>
          <w:iCs/>
        </w:rPr>
        <w:t>specific</w:t>
      </w:r>
      <w:r w:rsidR="00A45DA4" w:rsidRPr="00B45606">
        <w:t xml:space="preserve"> individual, </w:t>
      </w:r>
      <w:r w:rsidR="003E2014">
        <w:t xml:space="preserve">but rather </w:t>
      </w:r>
      <w:r w:rsidR="003E2014" w:rsidRPr="00D70B87">
        <w:t xml:space="preserve">the label </w:t>
      </w:r>
      <w:r w:rsidR="003E2014">
        <w:t xml:space="preserve">is </w:t>
      </w:r>
      <w:r w:rsidR="003E2014" w:rsidRPr="00D70B87">
        <w:t xml:space="preserve">being used broadly to </w:t>
      </w:r>
      <w:r w:rsidR="003E2014" w:rsidRPr="004B4852">
        <w:t>classify</w:t>
      </w:r>
      <w:r w:rsidR="003E2014" w:rsidRPr="00D70B87">
        <w:t xml:space="preserve"> a </w:t>
      </w:r>
      <w:r w:rsidR="003E2014" w:rsidRPr="004B4852">
        <w:rPr>
          <w:i/>
          <w:iCs/>
        </w:rPr>
        <w:t>type</w:t>
      </w:r>
      <w:r w:rsidR="003E2014">
        <w:t xml:space="preserve"> of person, </w:t>
      </w:r>
      <w:r w:rsidR="007F231C">
        <w:t xml:space="preserve">a grammatically masculine referring expression </w:t>
      </w:r>
      <w:r w:rsidR="00FE4C52">
        <w:t>by default</w:t>
      </w:r>
      <w:r w:rsidR="007F231C">
        <w:t xml:space="preserve"> include</w:t>
      </w:r>
      <w:r w:rsidR="00FE4C52">
        <w:t>s</w:t>
      </w:r>
      <w:r w:rsidR="007F231C">
        <w:t xml:space="preserve"> women or girls in its scope.</w:t>
      </w:r>
      <w:r w:rsidR="008C617E">
        <w:rPr>
          <w:rStyle w:val="FootnoteReference"/>
        </w:rPr>
        <w:footnoteReference w:id="16"/>
      </w:r>
      <w:r w:rsidR="007F231C">
        <w:t xml:space="preserve"> </w:t>
      </w:r>
      <w:r w:rsidR="00DD616B">
        <w:t xml:space="preserve">Consider </w:t>
      </w:r>
      <w:r w:rsidR="00FE4C52">
        <w:t>the promise t</w:t>
      </w:r>
      <w:r w:rsidR="00DD616B">
        <w:t>hat the</w:t>
      </w:r>
      <w:r w:rsidR="00E971C3">
        <w:t xml:space="preserve"> two</w:t>
      </w:r>
      <w:r w:rsidR="00DD616B">
        <w:t xml:space="preserve"> Israelite </w:t>
      </w:r>
      <w:r w:rsidR="00FE4C52">
        <w:t>spies</w:t>
      </w:r>
      <w:r w:rsidR="00DD616B">
        <w:t xml:space="preserve"> </w:t>
      </w:r>
      <w:r w:rsidR="00FE4C52">
        <w:t>make</w:t>
      </w:r>
      <w:r w:rsidR="00DD616B">
        <w:t xml:space="preserve"> to Rahab the prostitute</w:t>
      </w:r>
      <w:r w:rsidR="00FE4C52">
        <w:t xml:space="preserve">, regarding </w:t>
      </w:r>
      <w:r w:rsidR="00E971C3">
        <w:t>an</w:t>
      </w:r>
      <w:r w:rsidR="00FE4C52">
        <w:t xml:space="preserve"> imminent attack </w:t>
      </w:r>
      <w:r w:rsidR="005A3C36">
        <w:t xml:space="preserve">in </w:t>
      </w:r>
      <w:r w:rsidR="005A3C36" w:rsidRPr="005874AA">
        <w:t>which</w:t>
      </w:r>
      <w:r w:rsidR="005A3C36">
        <w:t xml:space="preserve"> every resident of Jericho is supposed to be killed</w:t>
      </w:r>
      <w:r w:rsidR="00DD616B">
        <w:t xml:space="preserve">: </w:t>
      </w:r>
    </w:p>
    <w:p w14:paraId="54C421A1" w14:textId="42CA1461" w:rsidR="003E2014" w:rsidRPr="00097315" w:rsidRDefault="00DD616B" w:rsidP="00097315">
      <w:pPr>
        <w:pStyle w:val="StandardFL"/>
        <w:spacing w:before="120" w:after="120"/>
        <w:ind w:left="720"/>
        <w:rPr>
          <w:sz w:val="22"/>
          <w:szCs w:val="22"/>
        </w:rPr>
      </w:pPr>
      <w:r w:rsidRPr="00097315">
        <w:rPr>
          <w:sz w:val="22"/>
          <w:szCs w:val="22"/>
        </w:rPr>
        <w:t>Bring your father, your mother, your brothers, and all your family together in your house; and</w:t>
      </w:r>
      <w:r w:rsidR="00C07DAB">
        <w:rPr>
          <w:sz w:val="22"/>
          <w:szCs w:val="22"/>
        </w:rPr>
        <w:t xml:space="preserve"> …</w:t>
      </w:r>
      <w:r w:rsidRPr="00097315">
        <w:rPr>
          <w:sz w:val="22"/>
          <w:szCs w:val="22"/>
        </w:rPr>
        <w:t xml:space="preserve"> if </w:t>
      </w:r>
      <w:r w:rsidR="00C07DAB">
        <w:rPr>
          <w:sz w:val="22"/>
          <w:szCs w:val="22"/>
        </w:rPr>
        <w:t xml:space="preserve">a hand is laid on anyone who remains in the house with you, </w:t>
      </w:r>
      <w:r w:rsidR="005A3C36">
        <w:rPr>
          <w:sz w:val="22"/>
          <w:szCs w:val="22"/>
        </w:rPr>
        <w:t>his blood shall be on our heads</w:t>
      </w:r>
      <w:r w:rsidR="00FE4C52" w:rsidRPr="00097315">
        <w:rPr>
          <w:sz w:val="22"/>
          <w:szCs w:val="22"/>
        </w:rPr>
        <w:t>.</w:t>
      </w:r>
      <w:r w:rsidR="00FE4C52">
        <w:rPr>
          <w:sz w:val="22"/>
          <w:szCs w:val="22"/>
        </w:rPr>
        <w:t xml:space="preserve"> (</w:t>
      </w:r>
      <w:r w:rsidR="003A1D39">
        <w:rPr>
          <w:sz w:val="22"/>
          <w:szCs w:val="22"/>
        </w:rPr>
        <w:t xml:space="preserve">Josh. 2.18–19, </w:t>
      </w:r>
      <w:r w:rsidR="00FE4C52">
        <w:rPr>
          <w:sz w:val="22"/>
          <w:szCs w:val="22"/>
        </w:rPr>
        <w:t>NJPS</w:t>
      </w:r>
      <w:r w:rsidR="003A1D39">
        <w:rPr>
          <w:sz w:val="22"/>
          <w:szCs w:val="22"/>
        </w:rPr>
        <w:t>)</w:t>
      </w:r>
    </w:p>
    <w:p w14:paraId="4C4FC6A4" w14:textId="0070DEDC" w:rsidR="003D4365" w:rsidRDefault="003A1D39" w:rsidP="00C439A3">
      <w:pPr>
        <w:pStyle w:val="StandardFL"/>
      </w:pPr>
      <w:r>
        <w:t xml:space="preserve">In the </w:t>
      </w:r>
      <w:r w:rsidR="00895329">
        <w:t>latter part</w:t>
      </w:r>
      <w:r>
        <w:t xml:space="preserve"> of </w:t>
      </w:r>
      <w:r w:rsidR="00895329">
        <w:t>the corresponding</w:t>
      </w:r>
      <w:r>
        <w:t xml:space="preserve"> </w:t>
      </w:r>
      <w:r w:rsidR="00895329">
        <w:t xml:space="preserve">Hebrew </w:t>
      </w:r>
      <w:r>
        <w:t>sentence, the</w:t>
      </w:r>
      <w:r w:rsidR="00D6090D">
        <w:t xml:space="preserve"> </w:t>
      </w:r>
      <w:r w:rsidR="00C439A3">
        <w:t>personal reference</w:t>
      </w:r>
      <w:r w:rsidR="00895329">
        <w:t xml:space="preserve"> </w:t>
      </w:r>
      <w:r w:rsidR="00895329" w:rsidRPr="008A5BFD">
        <w:rPr>
          <w:rFonts w:hAnsi="SBL BibLit" w:cs="SBL BibLit"/>
          <w:rtl/>
          <w:lang w:bidi="he-IL"/>
        </w:rPr>
        <w:t>כֹל אֲשֶׁר יִהְיֶה אִתָּךְ בַּבַּיִת</w:t>
      </w:r>
      <w:r w:rsidR="00F92A29">
        <w:t xml:space="preserve"> </w:t>
      </w:r>
      <w:proofErr w:type="spellStart"/>
      <w:r w:rsidR="00F92A29">
        <w:rPr>
          <w:i/>
          <w:iCs/>
        </w:rPr>
        <w:t>k</w:t>
      </w:r>
      <w:r w:rsidR="00D103F3">
        <w:rPr>
          <w:i/>
          <w:iCs/>
        </w:rPr>
        <w:t>h</w:t>
      </w:r>
      <w:r w:rsidR="00F92A29">
        <w:rPr>
          <w:i/>
          <w:iCs/>
        </w:rPr>
        <w:t>ol</w:t>
      </w:r>
      <w:proofErr w:type="spellEnd"/>
      <w:r w:rsidR="00F92A29">
        <w:rPr>
          <w:i/>
          <w:iCs/>
        </w:rPr>
        <w:t xml:space="preserve"> ’</w:t>
      </w:r>
      <w:proofErr w:type="spellStart"/>
      <w:r w:rsidR="00F92A29">
        <w:rPr>
          <w:i/>
          <w:iCs/>
        </w:rPr>
        <w:t>asher</w:t>
      </w:r>
      <w:proofErr w:type="spellEnd"/>
      <w:r w:rsidR="00F92A29">
        <w:rPr>
          <w:i/>
          <w:iCs/>
        </w:rPr>
        <w:t xml:space="preserve"> </w:t>
      </w:r>
      <w:proofErr w:type="spellStart"/>
      <w:r w:rsidR="00F92A29">
        <w:rPr>
          <w:i/>
          <w:iCs/>
        </w:rPr>
        <w:t>yihyeh</w:t>
      </w:r>
      <w:proofErr w:type="spellEnd"/>
      <w:r w:rsidR="00F92A29">
        <w:rPr>
          <w:i/>
          <w:iCs/>
        </w:rPr>
        <w:t xml:space="preserve"> ’</w:t>
      </w:r>
      <w:proofErr w:type="spellStart"/>
      <w:r w:rsidR="00F92A29">
        <w:rPr>
          <w:i/>
          <w:iCs/>
        </w:rPr>
        <w:t>ittak</w:t>
      </w:r>
      <w:r w:rsidR="00D103F3">
        <w:rPr>
          <w:i/>
          <w:iCs/>
        </w:rPr>
        <w:t>h</w:t>
      </w:r>
      <w:proofErr w:type="spellEnd"/>
      <w:r w:rsidR="00F92A29">
        <w:rPr>
          <w:i/>
          <w:iCs/>
        </w:rPr>
        <w:t xml:space="preserve"> </w:t>
      </w:r>
      <w:proofErr w:type="spellStart"/>
      <w:r w:rsidR="00F92A29">
        <w:rPr>
          <w:i/>
          <w:iCs/>
        </w:rPr>
        <w:t>babbayit</w:t>
      </w:r>
      <w:proofErr w:type="spellEnd"/>
      <w:r w:rsidR="00C439A3">
        <w:t xml:space="preserve"> “</w:t>
      </w:r>
      <w:r w:rsidR="00C439A3" w:rsidRPr="00C439A3">
        <w:t>anyone who remains in the house with you</w:t>
      </w:r>
      <w:r w:rsidR="00C439A3">
        <w:t>”</w:t>
      </w:r>
      <w:r>
        <w:t xml:space="preserve"> is grammatically masculine, as </w:t>
      </w:r>
      <w:r w:rsidR="005A3C36">
        <w:t>is</w:t>
      </w:r>
      <w:r>
        <w:t xml:space="preserve"> the</w:t>
      </w:r>
      <w:r w:rsidR="00CE16CD">
        <w:t xml:space="preserve"> subsequent</w:t>
      </w:r>
      <w:r>
        <w:t xml:space="preserve"> suffixed pronoun</w:t>
      </w:r>
      <w:r w:rsidR="00D6090D">
        <w:t xml:space="preserve"> (“his”)</w:t>
      </w:r>
      <w:r>
        <w:t xml:space="preserve"> that take</w:t>
      </w:r>
      <w:r w:rsidR="00FB31CE">
        <w:t>s</w:t>
      </w:r>
      <w:r>
        <w:t xml:space="preserve"> </w:t>
      </w:r>
      <w:r w:rsidR="00CE16CD">
        <w:lastRenderedPageBreak/>
        <w:t>this</w:t>
      </w:r>
      <w:r>
        <w:t xml:space="preserve"> expression as </w:t>
      </w:r>
      <w:r w:rsidR="005A3C36">
        <w:t>its</w:t>
      </w:r>
      <w:r>
        <w:t xml:space="preserve"> antecedent. Yet all the</w:t>
      </w:r>
      <w:r w:rsidR="00FE1290">
        <w:t xml:space="preserve"> story’s</w:t>
      </w:r>
      <w:r>
        <w:t xml:space="preserve"> characters </w:t>
      </w:r>
      <w:r w:rsidR="001827A0">
        <w:t xml:space="preserve">and </w:t>
      </w:r>
      <w:r w:rsidR="00FE1290">
        <w:t>its</w:t>
      </w:r>
      <w:r w:rsidR="001827A0">
        <w:t xml:space="preserve"> narrator</w:t>
      </w:r>
      <w:r>
        <w:t xml:space="preserve"> </w:t>
      </w:r>
      <w:r w:rsidR="004D7B8E">
        <w:t>clearly</w:t>
      </w:r>
      <w:r w:rsidR="002C5BC2">
        <w:t xml:space="preserve"> understand th</w:t>
      </w:r>
      <w:r w:rsidR="005A3C36">
        <w:t>at</w:t>
      </w:r>
      <w:r w:rsidR="002C5BC2">
        <w:t xml:space="preserve"> Rahab</w:t>
      </w:r>
      <w:r w:rsidR="005A3C36">
        <w:t>’s</w:t>
      </w:r>
      <w:r w:rsidR="002C5BC2">
        <w:t xml:space="preserve"> mother </w:t>
      </w:r>
      <w:r w:rsidR="005A3C36">
        <w:t>is</w:t>
      </w:r>
      <w:r w:rsidR="002C5BC2">
        <w:t xml:space="preserve"> included in its scope</w:t>
      </w:r>
      <w:r w:rsidR="005A3C36">
        <w:t xml:space="preserve"> (see</w:t>
      </w:r>
      <w:r w:rsidR="004D7B8E">
        <w:t xml:space="preserve"> also</w:t>
      </w:r>
      <w:r w:rsidR="005A3C36">
        <w:t xml:space="preserve"> 6.22–23</w:t>
      </w:r>
      <w:r w:rsidR="00544BF9">
        <w:t>, which recounts her being saved alive</w:t>
      </w:r>
      <w:r w:rsidR="005A3C36">
        <w:t>)</w:t>
      </w:r>
      <w:r w:rsidR="002C5BC2">
        <w:t>.</w:t>
      </w:r>
      <w:r>
        <w:t xml:space="preserve"> </w:t>
      </w:r>
      <w:proofErr w:type="gramStart"/>
      <w:r w:rsidR="005A3C36">
        <w:t>Likewise</w:t>
      </w:r>
      <w:proofErr w:type="gramEnd"/>
      <w:r w:rsidR="003E2014">
        <w:t xml:space="preserve"> both the composer(s) of the text and its ancient audience </w:t>
      </w:r>
      <w:r w:rsidR="005A3C36">
        <w:t xml:space="preserve">must have </w:t>
      </w:r>
      <w:r w:rsidR="003E2014">
        <w:t xml:space="preserve">shared </w:t>
      </w:r>
      <w:r w:rsidR="009765D9">
        <w:t>the same</w:t>
      </w:r>
      <w:r w:rsidR="003E2014">
        <w:t xml:space="preserve"> understanding of the </w:t>
      </w:r>
      <w:r w:rsidR="001827A0">
        <w:t>spies’</w:t>
      </w:r>
      <w:r w:rsidR="003E2014">
        <w:t xml:space="preserve"> wording. </w:t>
      </w:r>
      <w:r w:rsidR="00B87206">
        <w:t>T</w:t>
      </w:r>
      <w:r w:rsidR="00B84BE8">
        <w:t>his is because the</w:t>
      </w:r>
      <w:r w:rsidR="003E2014">
        <w:t xml:space="preserve"> </w:t>
      </w:r>
      <w:r w:rsidR="00D6090D">
        <w:t>protected group</w:t>
      </w:r>
      <w:r w:rsidR="009765D9">
        <w:t>, as they outlined it,</w:t>
      </w:r>
      <w:r w:rsidR="003E2014">
        <w:t xml:space="preserve"> is a class</w:t>
      </w:r>
      <w:r w:rsidR="00B87206">
        <w:t xml:space="preserve"> that includes</w:t>
      </w:r>
      <w:r w:rsidR="00FD064F">
        <w:t xml:space="preserve"> </w:t>
      </w:r>
      <w:r w:rsidR="00B87206">
        <w:t>everyone</w:t>
      </w:r>
      <w:r w:rsidR="003E2014">
        <w:t xml:space="preserve"> who meets the stated criteria</w:t>
      </w:r>
      <w:r w:rsidR="00A45DA4" w:rsidRPr="00B45606">
        <w:t>.</w:t>
      </w:r>
      <w:r w:rsidR="00B84BE8">
        <w:rPr>
          <w:rStyle w:val="FootnoteReference"/>
        </w:rPr>
        <w:footnoteReference w:id="17"/>
      </w:r>
      <w:r w:rsidR="00A45DA4" w:rsidRPr="00B45606">
        <w:t xml:space="preserve"> </w:t>
      </w:r>
      <w:r w:rsidR="003D4365">
        <w:t xml:space="preserve">Hence RJPS renders </w:t>
      </w:r>
      <w:r w:rsidR="00544BF9">
        <w:t>gender-inclusively</w:t>
      </w:r>
      <w:r w:rsidR="00FB31CE">
        <w:t>:</w:t>
      </w:r>
      <w:r w:rsidR="00544BF9">
        <w:t xml:space="preserve"> “</w:t>
      </w:r>
      <w:r w:rsidR="00D6090D">
        <w:t>anyone…</w:t>
      </w:r>
      <w:r w:rsidR="00544BF9">
        <w:t>their blood shall be on our heads.”</w:t>
      </w:r>
    </w:p>
    <w:p w14:paraId="4526F92E" w14:textId="5A96E24D" w:rsidR="00753BFF" w:rsidRDefault="00E971C3" w:rsidP="00753BFF">
      <w:pPr>
        <w:pStyle w:val="Standard1218justified"/>
      </w:pPr>
      <w:r>
        <w:t>Likewise, w</w:t>
      </w:r>
      <w:r w:rsidRPr="00B45606">
        <w:t xml:space="preserve">omen are potentially in view </w:t>
      </w:r>
      <w:r w:rsidR="00D85B5C">
        <w:t>if</w:t>
      </w:r>
      <w:r w:rsidR="00FB31CE">
        <w:t xml:space="preserve"> the referring label is</w:t>
      </w:r>
      <w:r w:rsidRPr="00B45606">
        <w:t xml:space="preserve"> almost </w:t>
      </w:r>
      <w:r w:rsidR="00FB31CE">
        <w:t>any</w:t>
      </w:r>
      <w:r w:rsidRPr="00B45606">
        <w:t xml:space="preserve"> of Hebrew’s “male” personal nouns (i.e., those that have a specifically female counterpart)</w:t>
      </w:r>
      <w:r>
        <w:t>—</w:t>
      </w:r>
      <w:r w:rsidR="0056560A">
        <w:t>as long as</w:t>
      </w:r>
      <w:r>
        <w:t xml:space="preserve"> the reference is not specific</w:t>
      </w:r>
      <w:r w:rsidRPr="00B45606">
        <w:t>.</w:t>
      </w:r>
      <w:r w:rsidR="00D85B5C">
        <w:rPr>
          <w:rStyle w:val="FootnoteReference"/>
        </w:rPr>
        <w:footnoteReference w:id="18"/>
      </w:r>
      <w:r>
        <w:t xml:space="preserve"> An exemplar</w:t>
      </w:r>
      <w:r w:rsidR="00754269">
        <w:t xml:space="preserve"> is</w:t>
      </w:r>
      <w:r w:rsidR="00FB31CE">
        <w:t xml:space="preserve"> the noun</w:t>
      </w:r>
      <w:r w:rsidR="00127D50">
        <w:t xml:space="preserve"> </w:t>
      </w:r>
      <w:r w:rsidR="00753BFF" w:rsidRPr="00753BFF">
        <w:rPr>
          <w:rFonts w:ascii="SBL BibLit" w:hAnsi="SBL BibLit" w:cs="SBL BibLit" w:hint="cs"/>
          <w:color w:val="000000"/>
          <w:rtl/>
          <w:lang w:bidi="he-IL"/>
        </w:rPr>
        <w:t>אָח</w:t>
      </w:r>
      <w:r w:rsidR="00ED5D70">
        <w:t xml:space="preserve"> </w:t>
      </w:r>
      <w:r w:rsidR="00C61FD6">
        <w:t>(</w:t>
      </w:r>
      <w:r w:rsidR="000E5482">
        <w:t>see the previous section</w:t>
      </w:r>
      <w:r w:rsidR="00C61FD6">
        <w:t xml:space="preserve">) </w:t>
      </w:r>
      <w:r w:rsidR="00ED5D70">
        <w:t>w</w:t>
      </w:r>
      <w:r w:rsidR="006E7484">
        <w:t xml:space="preserve">hen </w:t>
      </w:r>
      <w:r w:rsidR="00AD4301">
        <w:t>a</w:t>
      </w:r>
      <w:r w:rsidR="00B75D31">
        <w:t xml:space="preserve"> narrator describes </w:t>
      </w:r>
      <w:r w:rsidR="006E7484">
        <w:t xml:space="preserve">the </w:t>
      </w:r>
      <w:r w:rsidR="0056560A">
        <w:t>release of both male and female slaves</w:t>
      </w:r>
      <w:r w:rsidR="00B75D31">
        <w:t xml:space="preserve"> in Jerusalem</w:t>
      </w:r>
      <w:r w:rsidR="00ED5D70">
        <w:t>:</w:t>
      </w:r>
    </w:p>
    <w:p w14:paraId="2E1CE27E" w14:textId="08891B5A" w:rsidR="00754269" w:rsidRPr="008A5BFD" w:rsidRDefault="00753BFF" w:rsidP="00754269">
      <w:pPr>
        <w:pStyle w:val="StandardFL"/>
        <w:spacing w:before="120" w:after="120"/>
        <w:ind w:left="720"/>
        <w:rPr>
          <w:sz w:val="22"/>
          <w:szCs w:val="22"/>
        </w:rPr>
      </w:pPr>
      <w:r>
        <w:rPr>
          <w:sz w:val="22"/>
          <w:szCs w:val="22"/>
        </w:rPr>
        <w:t>…</w:t>
      </w:r>
      <w:r w:rsidR="00472D92">
        <w:rPr>
          <w:sz w:val="22"/>
          <w:szCs w:val="22"/>
        </w:rPr>
        <w:t xml:space="preserve">everyone should set free </w:t>
      </w:r>
      <w:r>
        <w:rPr>
          <w:sz w:val="22"/>
          <w:szCs w:val="22"/>
        </w:rPr>
        <w:t>their</w:t>
      </w:r>
      <w:r w:rsidR="00472D92">
        <w:rPr>
          <w:sz w:val="22"/>
          <w:szCs w:val="22"/>
        </w:rPr>
        <w:t xml:space="preserve"> Hebrew slaves, both male and</w:t>
      </w:r>
      <w:r>
        <w:rPr>
          <w:sz w:val="22"/>
          <w:szCs w:val="22"/>
        </w:rPr>
        <w:t xml:space="preserve"> female, and…no one should keep their fellow (</w:t>
      </w:r>
      <w:r w:rsidRPr="00097315">
        <w:rPr>
          <w:rFonts w:ascii="SBL BibLit" w:hAnsi="SBL BibLit" w:cs="SBL BibLit" w:hint="cs"/>
          <w:color w:val="000000"/>
          <w:sz w:val="22"/>
          <w:szCs w:val="22"/>
          <w:rtl/>
          <w:lang w:bidi="he-IL"/>
        </w:rPr>
        <w:t>אָח</w:t>
      </w:r>
      <w:r>
        <w:rPr>
          <w:sz w:val="22"/>
          <w:szCs w:val="22"/>
        </w:rPr>
        <w:t>) Judean enslaved.</w:t>
      </w:r>
      <w:r w:rsidR="00472D92" w:rsidRPr="007868CB">
        <w:rPr>
          <w:sz w:val="22"/>
          <w:szCs w:val="22"/>
        </w:rPr>
        <w:t xml:space="preserve"> </w:t>
      </w:r>
      <w:r w:rsidR="00754269" w:rsidRPr="007868CB">
        <w:rPr>
          <w:sz w:val="22"/>
          <w:szCs w:val="22"/>
        </w:rPr>
        <w:t>(</w:t>
      </w:r>
      <w:r w:rsidR="00ED5D70" w:rsidRPr="007868CB">
        <w:rPr>
          <w:sz w:val="22"/>
          <w:szCs w:val="22"/>
        </w:rPr>
        <w:t>Jer</w:t>
      </w:r>
      <w:r w:rsidR="007868CB">
        <w:rPr>
          <w:sz w:val="22"/>
          <w:szCs w:val="22"/>
        </w:rPr>
        <w:t>.</w:t>
      </w:r>
      <w:r w:rsidR="00ED5D70" w:rsidRPr="007868CB">
        <w:rPr>
          <w:sz w:val="22"/>
          <w:szCs w:val="22"/>
        </w:rPr>
        <w:t xml:space="preserve"> 34.9, </w:t>
      </w:r>
      <w:r w:rsidRPr="007868CB">
        <w:rPr>
          <w:sz w:val="22"/>
          <w:szCs w:val="22"/>
        </w:rPr>
        <w:t>R</w:t>
      </w:r>
      <w:r w:rsidR="00754269" w:rsidRPr="007868CB">
        <w:rPr>
          <w:sz w:val="22"/>
          <w:szCs w:val="22"/>
        </w:rPr>
        <w:t>JPS)</w:t>
      </w:r>
      <w:r>
        <w:rPr>
          <w:rStyle w:val="FootnoteReference"/>
          <w:sz w:val="22"/>
          <w:szCs w:val="22"/>
        </w:rPr>
        <w:footnoteReference w:id="19"/>
      </w:r>
    </w:p>
    <w:p w14:paraId="1CCB5916" w14:textId="681B2EDA" w:rsidR="00ED5D70" w:rsidRDefault="00C61FD6" w:rsidP="00ED5D70">
      <w:pPr>
        <w:pStyle w:val="StandardFL"/>
      </w:pPr>
      <w:r>
        <w:t>This speaker covers both genders of slaves via</w:t>
      </w:r>
      <w:r w:rsidR="003B4025">
        <w:t xml:space="preserve"> </w:t>
      </w:r>
      <w:r>
        <w:t>the masculine term</w:t>
      </w:r>
      <w:r w:rsidR="003B4025">
        <w:t xml:space="preserve"> </w:t>
      </w:r>
      <w:r w:rsidR="003B4025" w:rsidRPr="00753BFF">
        <w:rPr>
          <w:rFonts w:ascii="SBL BibLit" w:hAnsi="SBL BibLit" w:cs="SBL BibLit" w:hint="cs"/>
          <w:color w:val="000000"/>
          <w:rtl/>
          <w:lang w:bidi="he-IL"/>
        </w:rPr>
        <w:t>אָח</w:t>
      </w:r>
      <w:r>
        <w:t xml:space="preserve"> </w:t>
      </w:r>
      <w:r w:rsidR="003B4025">
        <w:t>alone</w:t>
      </w:r>
      <w:r w:rsidR="007868CB">
        <w:t>—</w:t>
      </w:r>
      <w:r>
        <w:t>as does</w:t>
      </w:r>
      <w:r w:rsidR="00ED5D70">
        <w:t xml:space="preserve"> </w:t>
      </w:r>
      <w:r w:rsidR="00ED5D70" w:rsidRPr="008A5BFD">
        <w:rPr>
          <w:smallCaps/>
        </w:rPr>
        <w:t>God</w:t>
      </w:r>
      <w:r>
        <w:t xml:space="preserve"> </w:t>
      </w:r>
      <w:r w:rsidR="0016369D">
        <w:t xml:space="preserve">again </w:t>
      </w:r>
      <w:r w:rsidR="001E48F4">
        <w:t xml:space="preserve">later </w:t>
      </w:r>
      <w:r w:rsidR="004E7F85">
        <w:t>in the same passage</w:t>
      </w:r>
      <w:r w:rsidR="00ED5D70">
        <w:t xml:space="preserve"> (vv. 14, 17).</w:t>
      </w:r>
      <w:r w:rsidR="005F3974">
        <w:rPr>
          <w:rStyle w:val="FootnoteReference"/>
        </w:rPr>
        <w:footnoteReference w:id="20"/>
      </w:r>
    </w:p>
    <w:p w14:paraId="5B11EA71" w14:textId="63622ECE" w:rsidR="004E7F85" w:rsidRPr="00097315" w:rsidRDefault="004E7F85" w:rsidP="004E7F85">
      <w:pPr>
        <w:pStyle w:val="Standard1218justified"/>
      </w:pPr>
      <w:r>
        <w:t xml:space="preserve">In short, translators must ask themselves whether a given reference is being made in a classifying manner. If so, then masculine grammatical gender and so-called male terms are not constraining the gender of </w:t>
      </w:r>
      <w:r w:rsidR="009C5C21">
        <w:t>the</w:t>
      </w:r>
      <w:r>
        <w:t xml:space="preserve"> persons</w:t>
      </w:r>
      <w:r w:rsidR="009C5C21">
        <w:t xml:space="preserve"> in view</w:t>
      </w:r>
      <w:r>
        <w:t>.</w:t>
      </w:r>
    </w:p>
    <w:p w14:paraId="67E960E5" w14:textId="1069947B" w:rsidR="000E6B87" w:rsidRPr="00B45606" w:rsidRDefault="000E6B87" w:rsidP="003A5448">
      <w:pPr>
        <w:pBdr>
          <w:top w:val="nil"/>
          <w:left w:val="nil"/>
          <w:bottom w:val="nil"/>
          <w:right w:val="nil"/>
          <w:between w:val="nil"/>
        </w:pBdr>
        <w:rPr>
          <w:rFonts w:asciiTheme="majorBidi" w:hAnsiTheme="majorBidi" w:cstheme="majorBidi"/>
          <w:szCs w:val="24"/>
        </w:rPr>
      </w:pPr>
    </w:p>
    <w:p w14:paraId="58C45A1D" w14:textId="2F3529D0" w:rsidR="000E6B87" w:rsidRPr="00B45606" w:rsidRDefault="00F00BBB" w:rsidP="008954BB">
      <w:pPr>
        <w:pStyle w:val="Heading3"/>
        <w:rPr>
          <w:rFonts w:asciiTheme="majorBidi" w:hAnsiTheme="majorBidi" w:cstheme="majorBidi"/>
          <w:color w:val="000000"/>
          <w:szCs w:val="24"/>
        </w:rPr>
      </w:pPr>
      <w:r w:rsidRPr="00B45606">
        <w:t>What Goes without Saying</w:t>
      </w:r>
      <w:r w:rsidRPr="00B45606">
        <w:rPr>
          <w:rFonts w:asciiTheme="majorBidi" w:hAnsiTheme="majorBidi" w:cstheme="majorBidi"/>
          <w:color w:val="000000"/>
          <w:szCs w:val="24"/>
        </w:rPr>
        <w:t xml:space="preserve"> </w:t>
      </w:r>
    </w:p>
    <w:p w14:paraId="14FBCF63" w14:textId="0D5055A6" w:rsidR="007F4F7A" w:rsidRDefault="00CB0661" w:rsidP="00CB0661">
      <w:pPr>
        <w:pStyle w:val="StandardFL"/>
      </w:pPr>
      <w:r w:rsidRPr="00B45606">
        <w:t>The Bible’s composers could rely upon the fact that</w:t>
      </w:r>
      <w:r w:rsidR="007868CB">
        <w:t xml:space="preserve"> </w:t>
      </w:r>
      <w:r w:rsidR="007868CB" w:rsidRPr="00B45606">
        <w:t>the original audience</w:t>
      </w:r>
      <w:r w:rsidR="007868CB">
        <w:t>,</w:t>
      </w:r>
      <w:r w:rsidRPr="00B45606">
        <w:t xml:space="preserve"> </w:t>
      </w:r>
      <w:r w:rsidR="007868CB">
        <w:t>in</w:t>
      </w:r>
      <w:r w:rsidRPr="00B45606">
        <w:t xml:space="preserve"> making sense of the text, would apply their society’s familiar gender categories to textual interpretation.</w:t>
      </w:r>
      <w:r w:rsidR="00661A9E" w:rsidRPr="00B45606">
        <w:rPr>
          <w:rStyle w:val="FootnoteReference"/>
        </w:rPr>
        <w:footnoteReference w:id="21"/>
      </w:r>
      <w:r w:rsidRPr="00B45606">
        <w:t xml:space="preserve"> </w:t>
      </w:r>
      <w:r w:rsidR="007F4F7A">
        <w:lastRenderedPageBreak/>
        <w:t>Consequently, those categories’ implications could go without saying. This section outlines what was</w:t>
      </w:r>
      <w:r w:rsidR="007F4F7A" w:rsidRPr="007F4F7A">
        <w:t xml:space="preserve"> </w:t>
      </w:r>
      <w:r w:rsidR="007F4F7A">
        <w:t xml:space="preserve">thereby presupposed. </w:t>
      </w:r>
    </w:p>
    <w:p w14:paraId="3F4D5F47" w14:textId="6D8782F9" w:rsidR="000E6B87" w:rsidRPr="00B45606" w:rsidRDefault="001E0EE4" w:rsidP="007F4F7A">
      <w:pPr>
        <w:pStyle w:val="Standard1218justified"/>
      </w:pPr>
      <w:r w:rsidRPr="00B45606">
        <w:t>In ancient Near East</w:t>
      </w:r>
      <w:r w:rsidR="00FD05AB" w:rsidRPr="00B45606">
        <w:t xml:space="preserve"> societies</w:t>
      </w:r>
      <w:r w:rsidRPr="00B45606">
        <w:t xml:space="preserve">, </w:t>
      </w:r>
      <w:r w:rsidR="00CB0661" w:rsidRPr="00B45606">
        <w:t xml:space="preserve">gender mattered: the first detail </w:t>
      </w:r>
      <w:r w:rsidR="00F06BC1">
        <w:t>communicated</w:t>
      </w:r>
      <w:r w:rsidR="007F4F7A">
        <w:t xml:space="preserve"> about</w:t>
      </w:r>
      <w:r w:rsidR="007F4F7A" w:rsidRPr="00B45606">
        <w:t xml:space="preserve"> a child</w:t>
      </w:r>
      <w:r w:rsidR="007F4F7A">
        <w:t>’s birth</w:t>
      </w:r>
      <w:r w:rsidR="00CB0661" w:rsidRPr="00B45606">
        <w:t xml:space="preserve"> was whether it was a boy or a girl. T</w:t>
      </w:r>
      <w:r w:rsidR="00FD05AB" w:rsidRPr="00B45606">
        <w:t xml:space="preserve">he </w:t>
      </w:r>
      <w:r w:rsidR="00CB0661" w:rsidRPr="00B45606">
        <w:t xml:space="preserve">corresponding </w:t>
      </w:r>
      <w:r w:rsidR="00FD05AB" w:rsidRPr="00B45606">
        <w:t>gender</w:t>
      </w:r>
      <w:r w:rsidR="00230C47">
        <w:t xml:space="preserve"> roles</w:t>
      </w:r>
      <w:r w:rsidR="00FD05AB" w:rsidRPr="00B45606">
        <w:t xml:space="preserve"> </w:t>
      </w:r>
      <w:r w:rsidR="00866823" w:rsidRPr="00B45606">
        <w:t>were complementary</w:t>
      </w:r>
      <w:r w:rsidR="002B48C4">
        <w:t xml:space="preserve"> both in conception and in practice</w:t>
      </w:r>
      <w:r w:rsidR="00866823" w:rsidRPr="00B45606">
        <w:t>.</w:t>
      </w:r>
      <w:r w:rsidR="007868CB">
        <w:t xml:space="preserve"> “Manly” and “womanly”</w:t>
      </w:r>
      <w:r w:rsidR="00DC5D82">
        <w:t xml:space="preserve"> qualities and behaviors</w:t>
      </w:r>
      <w:r w:rsidR="007868CB">
        <w:t xml:space="preserve"> were largely defined in</w:t>
      </w:r>
      <w:r w:rsidR="00DC5D82">
        <w:t xml:space="preserve"> reciprocal</w:t>
      </w:r>
      <w:r w:rsidR="007868CB">
        <w:t xml:space="preserve"> terms.</w:t>
      </w:r>
      <w:r w:rsidR="00147D27" w:rsidRPr="00B45606">
        <w:t xml:space="preserve"> </w:t>
      </w:r>
      <w:r w:rsidRPr="00B45606">
        <w:t xml:space="preserve">Gender </w:t>
      </w:r>
      <w:r w:rsidR="00661A9E">
        <w:t>differentially</w:t>
      </w:r>
      <w:r w:rsidRPr="00B45606">
        <w:t xml:space="preserve"> </w:t>
      </w:r>
      <w:r w:rsidR="00661A9E">
        <w:t>constrained</w:t>
      </w:r>
      <w:r w:rsidRPr="00B45606">
        <w:t xml:space="preserve"> who did what, and who answered to whom. Thus</w:t>
      </w:r>
      <w:r w:rsidR="00230C47">
        <w:t>, generally speaking,</w:t>
      </w:r>
      <w:r w:rsidRPr="00B45606">
        <w:t xml:space="preserve"> women possessed vital expertise that men seldom (if ever) grasped, while men held </w:t>
      </w:r>
      <w:r w:rsidR="00230C47">
        <w:t>crucial</w:t>
      </w:r>
      <w:r w:rsidR="00230C47" w:rsidRPr="00B45606">
        <w:t xml:space="preserve"> </w:t>
      </w:r>
      <w:r w:rsidRPr="00B45606">
        <w:t xml:space="preserve">skills and knowledge that women seldom (if ever) learned. </w:t>
      </w:r>
      <w:r w:rsidR="003A695C" w:rsidRPr="00B45606">
        <w:t>W</w:t>
      </w:r>
      <w:r w:rsidRPr="00B45606">
        <w:t>omen and men each learned how to exempl</w:t>
      </w:r>
      <w:r w:rsidR="003A695C" w:rsidRPr="00B45606">
        <w:t>ify</w:t>
      </w:r>
      <w:r w:rsidRPr="00B45606">
        <w:t xml:space="preserve"> their respective gender. </w:t>
      </w:r>
    </w:p>
    <w:p w14:paraId="7496484D" w14:textId="77777777" w:rsidR="00A64A23" w:rsidRDefault="00F12303" w:rsidP="00F12303">
      <w:pPr>
        <w:pStyle w:val="Standard1218justified"/>
      </w:pPr>
      <w:r w:rsidRPr="00B45606">
        <w:t>Gender expectations varied somewhat depending upon</w:t>
      </w:r>
      <w:r w:rsidR="00A27B5C" w:rsidRPr="00B45606">
        <w:t xml:space="preserve"> the</w:t>
      </w:r>
      <w:r w:rsidRPr="00B45606">
        <w:t xml:space="preserve"> intersecting factors </w:t>
      </w:r>
      <w:r w:rsidR="00A27B5C" w:rsidRPr="00B45606">
        <w:t>of</w:t>
      </w:r>
      <w:r w:rsidRPr="00B45606">
        <w:t xml:space="preserve"> </w:t>
      </w:r>
      <w:r w:rsidR="00A27B5C" w:rsidRPr="00B45606">
        <w:t xml:space="preserve">one’s ethnicity, </w:t>
      </w:r>
      <w:r w:rsidRPr="00B45606">
        <w:t>family ties, social class, and age. Nonetheless, t</w:t>
      </w:r>
      <w:r w:rsidR="001E0EE4" w:rsidRPr="00B45606">
        <w:t>h</w:t>
      </w:r>
      <w:r w:rsidR="000B26AC" w:rsidRPr="00B45606">
        <w:t>e</w:t>
      </w:r>
      <w:r w:rsidR="001E0EE4" w:rsidRPr="00B45606">
        <w:t xml:space="preserve"> </w:t>
      </w:r>
      <w:r w:rsidRPr="00B45606">
        <w:t>commonplaces</w:t>
      </w:r>
      <w:r w:rsidR="001E0EE4" w:rsidRPr="00B45606">
        <w:t xml:space="preserve"> that would have most affected the original audience’s gender perceptions of the biblical text </w:t>
      </w:r>
      <w:r w:rsidR="00707BC8" w:rsidRPr="00B45606">
        <w:t xml:space="preserve">appear to have </w:t>
      </w:r>
      <w:r w:rsidR="001E0EE4" w:rsidRPr="00B45606">
        <w:t xml:space="preserve">remained quite stable over the </w:t>
      </w:r>
      <w:r w:rsidR="00707BC8" w:rsidRPr="00B45606">
        <w:t xml:space="preserve">historical </w:t>
      </w:r>
      <w:r w:rsidR="001E0EE4" w:rsidRPr="00B45606">
        <w:t>period in question</w:t>
      </w:r>
      <w:r w:rsidR="00F126E0">
        <w:t xml:space="preserve"> (roughly sixteen hundred years)</w:t>
      </w:r>
      <w:r w:rsidR="001E0EE4" w:rsidRPr="00B45606">
        <w:t xml:space="preserve">. </w:t>
      </w:r>
    </w:p>
    <w:p w14:paraId="142C16E5" w14:textId="6D01EED6" w:rsidR="000E6B87" w:rsidRPr="00B45606" w:rsidRDefault="00A64A23" w:rsidP="00F12303">
      <w:pPr>
        <w:pStyle w:val="Standard1218justified"/>
      </w:pPr>
      <w:r>
        <w:t>T</w:t>
      </w:r>
      <w:r w:rsidR="001E0EE4" w:rsidRPr="00B45606">
        <w:t xml:space="preserve">hose </w:t>
      </w:r>
      <w:r w:rsidR="00F12303" w:rsidRPr="00B45606">
        <w:t>commonplaces</w:t>
      </w:r>
      <w:r>
        <w:t xml:space="preserve"> included the following</w:t>
      </w:r>
      <w:r w:rsidR="001E0EE4" w:rsidRPr="00B45606">
        <w:t xml:space="preserve">: the basic social and economic unit was the corporate household, typically headed by a man; </w:t>
      </w:r>
      <w:r w:rsidR="002B4113">
        <w:t>social structure was articulated</w:t>
      </w:r>
      <w:r w:rsidR="001E0EE4" w:rsidRPr="00B45606">
        <w:t xml:space="preserve"> in terms of extended patrilineages traced to a common ancestor</w:t>
      </w:r>
      <w:r w:rsidR="002B4113">
        <w:t>, although everyone recognized kinship through female relatives as well as male</w:t>
      </w:r>
      <w:r w:rsidR="001E0EE4" w:rsidRPr="00B45606">
        <w:t>; persons situated themselves in their community largely on the basis of kinship and gender roles; individuals derived their sense of identity</w:t>
      </w:r>
      <w:r w:rsidR="00230C47">
        <w:t xml:space="preserve"> both</w:t>
      </w:r>
      <w:r w:rsidR="001E0EE4" w:rsidRPr="00B45606">
        <w:t xml:space="preserve"> from their ancestry and </w:t>
      </w:r>
      <w:r w:rsidR="00F12303" w:rsidRPr="00B45606">
        <w:t xml:space="preserve">from </w:t>
      </w:r>
      <w:r w:rsidR="001E0EE4" w:rsidRPr="00B45606">
        <w:t>their corporate household</w:t>
      </w:r>
      <w:r w:rsidR="00F12303" w:rsidRPr="00B45606">
        <w:t>, whose well-being they viewed</w:t>
      </w:r>
      <w:r w:rsidR="001E0EE4" w:rsidRPr="00B45606">
        <w:t xml:space="preserve"> as paramount; “real</w:t>
      </w:r>
      <w:r w:rsidR="002B48C4">
        <w:t>”</w:t>
      </w:r>
      <w:r w:rsidR="001E0EE4" w:rsidRPr="00B45606">
        <w:t xml:space="preserve"> men knew how to handle a sword</w:t>
      </w:r>
      <w:r w:rsidR="00707BC8" w:rsidRPr="00B45606">
        <w:t>, and “real</w:t>
      </w:r>
      <w:r w:rsidR="002B48C4">
        <w:t>”</w:t>
      </w:r>
      <w:r w:rsidR="00707BC8" w:rsidRPr="00B45606">
        <w:t xml:space="preserve"> women, a spindle</w:t>
      </w:r>
      <w:r w:rsidR="001E0EE4" w:rsidRPr="00B45606">
        <w:t xml:space="preserve">; men featured not only in military endeavors but also in formal communal leadership; women </w:t>
      </w:r>
      <w:r w:rsidR="00597237" w:rsidRPr="00B45606">
        <w:t>were essential</w:t>
      </w:r>
      <w:r w:rsidR="001E0EE4" w:rsidRPr="00B45606">
        <w:t xml:space="preserve"> </w:t>
      </w:r>
      <w:r w:rsidR="002B4113">
        <w:t>workers in</w:t>
      </w:r>
      <w:r w:rsidR="001E0EE4" w:rsidRPr="00B45606">
        <w:t xml:space="preserve"> econom</w:t>
      </w:r>
      <w:r w:rsidR="00597237" w:rsidRPr="00B45606">
        <w:t>ic production</w:t>
      </w:r>
      <w:r w:rsidR="002B4113">
        <w:t>,</w:t>
      </w:r>
      <w:r w:rsidR="001E0EE4" w:rsidRPr="00B45606">
        <w:t xml:space="preserve"> and</w:t>
      </w:r>
      <w:r w:rsidR="002B4113">
        <w:t xml:space="preserve"> essential administrators in</w:t>
      </w:r>
      <w:r w:rsidR="001E0EE4" w:rsidRPr="00B45606">
        <w:t xml:space="preserve"> </w:t>
      </w:r>
      <w:r w:rsidR="00597237" w:rsidRPr="00B45606">
        <w:t>resource</w:t>
      </w:r>
      <w:r w:rsidR="001E0EE4" w:rsidRPr="00B45606">
        <w:t xml:space="preserve"> management; women </w:t>
      </w:r>
      <w:r w:rsidR="002B4113">
        <w:t>led aspects of</w:t>
      </w:r>
      <w:r w:rsidR="001E0EE4" w:rsidRPr="00B45606">
        <w:t xml:space="preserve"> public celebration </w:t>
      </w:r>
      <w:r w:rsidR="002B4113">
        <w:t>and</w:t>
      </w:r>
      <w:r w:rsidR="001E0EE4" w:rsidRPr="00B45606">
        <w:t xml:space="preserve"> mourning; and women could</w:t>
      </w:r>
      <w:r w:rsidR="002B48C4">
        <w:t xml:space="preserve"> and did</w:t>
      </w:r>
      <w:r w:rsidR="001E0EE4" w:rsidRPr="00B45606">
        <w:t xml:space="preserve"> acquire property (including slaves and land) via</w:t>
      </w:r>
      <w:r w:rsidR="002B48C4">
        <w:t xml:space="preserve"> </w:t>
      </w:r>
      <w:r w:rsidR="002B48C4" w:rsidRPr="00B45606">
        <w:t>purchase</w:t>
      </w:r>
      <w:r w:rsidR="002B48C4">
        <w:t xml:space="preserve">, </w:t>
      </w:r>
      <w:r w:rsidR="002B48C4" w:rsidRPr="00B45606">
        <w:t>dowry</w:t>
      </w:r>
      <w:r w:rsidR="002B48C4">
        <w:t>, or</w:t>
      </w:r>
      <w:r w:rsidR="001E0EE4" w:rsidRPr="00B45606">
        <w:t xml:space="preserve"> inheritance. </w:t>
      </w:r>
    </w:p>
    <w:p w14:paraId="19151A79" w14:textId="7FDC029B" w:rsidR="007009C8" w:rsidRDefault="00755750" w:rsidP="007009C8">
      <w:pPr>
        <w:pStyle w:val="Standard1218justified"/>
      </w:pPr>
      <w:r>
        <w:t>Much like a society’s commonplaces, a</w:t>
      </w:r>
      <w:r w:rsidR="003A695C" w:rsidRPr="00B45606">
        <w:t xml:space="preserve"> </w:t>
      </w:r>
      <w:r w:rsidR="00C711E0" w:rsidRPr="00B45606">
        <w:t>speech community’s</w:t>
      </w:r>
      <w:r w:rsidR="003A695C" w:rsidRPr="00B45606">
        <w:t xml:space="preserve"> conventions</w:t>
      </w:r>
      <w:r w:rsidR="00C711E0" w:rsidRPr="00B45606">
        <w:t>—their</w:t>
      </w:r>
      <w:r w:rsidR="003A695C" w:rsidRPr="00B45606">
        <w:t xml:space="preserve"> shorthand ways of speaking</w:t>
      </w:r>
      <w:r w:rsidR="00DC5D82">
        <w:t>—</w:t>
      </w:r>
      <w:r>
        <w:t xml:space="preserve">likewise </w:t>
      </w:r>
      <w:r w:rsidR="00DC5D82">
        <w:t xml:space="preserve">normally </w:t>
      </w:r>
      <w:r w:rsidR="00DC5D82" w:rsidRPr="00B45606">
        <w:t>go without saying</w:t>
      </w:r>
      <w:r w:rsidR="003A695C" w:rsidRPr="00B45606">
        <w:t xml:space="preserve">. </w:t>
      </w:r>
      <w:r w:rsidR="00C711E0" w:rsidRPr="00B45606">
        <w:t>One</w:t>
      </w:r>
      <w:r w:rsidR="00DC5D82">
        <w:t xml:space="preserve"> convention</w:t>
      </w:r>
      <w:r w:rsidR="00C711E0" w:rsidRPr="00B45606">
        <w:t xml:space="preserve"> that can affect gender perceptions involves</w:t>
      </w:r>
      <w:r w:rsidR="00597237" w:rsidRPr="00B45606">
        <w:t xml:space="preserve"> second-person address (</w:t>
      </w:r>
      <w:r w:rsidR="009C2795" w:rsidRPr="00B45606">
        <w:t xml:space="preserve">“you”). </w:t>
      </w:r>
      <w:r w:rsidR="00C711E0" w:rsidRPr="00B45606">
        <w:t>To illustrate, i</w:t>
      </w:r>
      <w:r w:rsidR="006B63AC" w:rsidRPr="00B45606">
        <w:t>magine sitting in the front row of a commercial airliner in the U.S.A. as it prepares for landing</w:t>
      </w:r>
      <w:r w:rsidR="00C711E0" w:rsidRPr="00B45606">
        <w:t>. You hear</w:t>
      </w:r>
      <w:r w:rsidR="00597237" w:rsidRPr="00B45606">
        <w:t xml:space="preserve"> </w:t>
      </w:r>
      <w:r w:rsidR="006B63AC" w:rsidRPr="00B45606">
        <w:t>the</w:t>
      </w:r>
      <w:r w:rsidR="00597237" w:rsidRPr="00B45606">
        <w:t xml:space="preserve"> flight attendant </w:t>
      </w:r>
      <w:r w:rsidR="006B63AC" w:rsidRPr="00B45606">
        <w:t>announce</w:t>
      </w:r>
      <w:r w:rsidR="00597237" w:rsidRPr="00B45606">
        <w:t>:</w:t>
      </w:r>
      <w:r w:rsidR="009C2795" w:rsidRPr="00B45606">
        <w:t xml:space="preserve"> “Please put your seat backs and tray tables in their </w:t>
      </w:r>
      <w:r w:rsidR="00597237" w:rsidRPr="00B45606">
        <w:t xml:space="preserve">full </w:t>
      </w:r>
      <w:r w:rsidR="009C2795" w:rsidRPr="00B45606">
        <w:t>upright and locked positions</w:t>
      </w:r>
      <w:r w:rsidR="00597237" w:rsidRPr="00B45606">
        <w:t>.</w:t>
      </w:r>
      <w:r w:rsidR="009C2795" w:rsidRPr="00B45606">
        <w:t xml:space="preserve">” </w:t>
      </w:r>
      <w:r w:rsidR="00C711E0" w:rsidRPr="00B45606">
        <w:t>W</w:t>
      </w:r>
      <w:r w:rsidR="00597237" w:rsidRPr="00B45606">
        <w:t xml:space="preserve">ould </w:t>
      </w:r>
      <w:r w:rsidR="00C711E0" w:rsidRPr="00B45606">
        <w:t xml:space="preserve">it </w:t>
      </w:r>
      <w:r w:rsidR="00597237" w:rsidRPr="00B45606">
        <w:t xml:space="preserve">be </w:t>
      </w:r>
      <w:r w:rsidR="006B63AC" w:rsidRPr="00B45606">
        <w:t xml:space="preserve">correct to infer that </w:t>
      </w:r>
      <w:r w:rsidR="006B63AC" w:rsidRPr="00B45606">
        <w:rPr>
          <w:i/>
          <w:iCs/>
        </w:rPr>
        <w:t>everyone</w:t>
      </w:r>
      <w:r w:rsidR="006B63AC" w:rsidRPr="00B45606">
        <w:t xml:space="preserve"> </w:t>
      </w:r>
      <w:r w:rsidR="00C711E0" w:rsidRPr="00B45606">
        <w:t xml:space="preserve">sitting </w:t>
      </w:r>
      <w:r w:rsidR="006B63AC" w:rsidRPr="00B45606">
        <w:t xml:space="preserve">behind </w:t>
      </w:r>
      <w:r w:rsidR="006B63AC" w:rsidRPr="00B45606">
        <w:lastRenderedPageBreak/>
        <w:t xml:space="preserve">you </w:t>
      </w:r>
      <w:r w:rsidR="009C2795" w:rsidRPr="00B45606">
        <w:t>ha</w:t>
      </w:r>
      <w:r w:rsidR="006B63AC" w:rsidRPr="00B45606">
        <w:t>d</w:t>
      </w:r>
      <w:r w:rsidR="009C2795" w:rsidRPr="00B45606">
        <w:t xml:space="preserve"> </w:t>
      </w:r>
      <w:r w:rsidR="006B63AC" w:rsidRPr="00B45606">
        <w:t>those</w:t>
      </w:r>
      <w:r w:rsidR="00507B40" w:rsidRPr="00B45606">
        <w:t xml:space="preserve"> items</w:t>
      </w:r>
      <w:r w:rsidR="009C2795" w:rsidRPr="00B45606">
        <w:t xml:space="preserve"> lowered</w:t>
      </w:r>
      <w:r w:rsidR="00C711E0" w:rsidRPr="00B45606">
        <w:t>?</w:t>
      </w:r>
      <w:r w:rsidR="009C2795" w:rsidRPr="00B45606">
        <w:t xml:space="preserve"> </w:t>
      </w:r>
      <w:r w:rsidR="00C711E0" w:rsidRPr="00B45606">
        <w:t xml:space="preserve">Of course not. </w:t>
      </w:r>
      <w:r w:rsidR="006B63AC" w:rsidRPr="00B45606">
        <w:t>I</w:t>
      </w:r>
      <w:r w:rsidR="00C711E0" w:rsidRPr="00B45606">
        <w:t>n English, i</w:t>
      </w:r>
      <w:r w:rsidR="00597237" w:rsidRPr="00B45606">
        <w:t>t goes without saying that</w:t>
      </w:r>
      <w:r w:rsidR="007B07C5" w:rsidRPr="00B45606">
        <w:t xml:space="preserve"> </w:t>
      </w:r>
      <w:r w:rsidR="006B63AC" w:rsidRPr="00B45606">
        <w:t xml:space="preserve">a </w:t>
      </w:r>
      <w:r w:rsidR="00832C9F" w:rsidRPr="00B45606">
        <w:t>general directive</w:t>
      </w:r>
      <w:r w:rsidR="006B63AC" w:rsidRPr="00B45606">
        <w:t xml:space="preserve"> is</w:t>
      </w:r>
      <w:r w:rsidR="009C2795" w:rsidRPr="00B45606">
        <w:t xml:space="preserve"> </w:t>
      </w:r>
      <w:r w:rsidR="00C711E0" w:rsidRPr="00B45606">
        <w:t>addressed nonspecifically to</w:t>
      </w:r>
      <w:r w:rsidR="00832C9F" w:rsidRPr="00B45606">
        <w:t xml:space="preserve"> those in the audience </w:t>
      </w:r>
      <w:r w:rsidR="00832C9F" w:rsidRPr="00B45606">
        <w:rPr>
          <w:i/>
          <w:iCs/>
        </w:rPr>
        <w:t>to whom it applies</w:t>
      </w:r>
      <w:r w:rsidR="00832C9F" w:rsidRPr="00B45606">
        <w:t xml:space="preserve">. </w:t>
      </w:r>
    </w:p>
    <w:p w14:paraId="122C8936" w14:textId="0CED29D8" w:rsidR="00830E6E" w:rsidRDefault="006B63AC" w:rsidP="007009C8">
      <w:pPr>
        <w:pStyle w:val="Standard1218justified"/>
      </w:pPr>
      <w:r w:rsidRPr="00B45606">
        <w:t>The same convention applied in Biblical Hebrew.</w:t>
      </w:r>
      <w:r w:rsidR="00832C9F" w:rsidRPr="00B45606">
        <w:t xml:space="preserve"> </w:t>
      </w:r>
      <w:r w:rsidRPr="00B45606">
        <w:t>Thus</w:t>
      </w:r>
      <w:r w:rsidR="00470337">
        <w:t>, to cite the classic ex</w:t>
      </w:r>
      <w:r w:rsidR="00023F2D">
        <w:t>e</w:t>
      </w:r>
      <w:r w:rsidR="00470337">
        <w:t>mplar</w:t>
      </w:r>
      <w:r w:rsidR="00261586">
        <w:t>—</w:t>
      </w:r>
      <w:r w:rsidR="00023F2D">
        <w:t>namely what</w:t>
      </w:r>
      <w:r w:rsidR="00832C9F" w:rsidRPr="00B45606">
        <w:t xml:space="preserve"> Moses</w:t>
      </w:r>
      <w:r w:rsidR="00023F2D">
        <w:t xml:space="preserve"> announces </w:t>
      </w:r>
      <w:r w:rsidR="007009C8">
        <w:t>while</w:t>
      </w:r>
      <w:r w:rsidR="00023F2D">
        <w:t xml:space="preserve"> preparing for the revelation at Mt. Sinai:</w:t>
      </w:r>
      <w:r w:rsidR="00832C9F" w:rsidRPr="00B45606">
        <w:t xml:space="preserve"> “</w:t>
      </w:r>
      <w:r w:rsidR="00830E6E">
        <w:t>y</w:t>
      </w:r>
      <w:r w:rsidR="00832C9F" w:rsidRPr="00B45606">
        <w:t>ou should not go near a woman” (Exod. 19.15)</w:t>
      </w:r>
      <w:r w:rsidR="00261586">
        <w:t>—</w:t>
      </w:r>
      <w:r w:rsidRPr="00B45606">
        <w:t>it is incorrect to</w:t>
      </w:r>
      <w:r w:rsidR="00832C9F" w:rsidRPr="00B45606">
        <w:t xml:space="preserve"> conclude that</w:t>
      </w:r>
      <w:r w:rsidR="0018025D">
        <w:t xml:space="preserve"> </w:t>
      </w:r>
      <w:r w:rsidR="00261586">
        <w:t>Moses’</w:t>
      </w:r>
      <w:r w:rsidR="00832C9F" w:rsidRPr="00B45606">
        <w:t xml:space="preserve"> audience consist</w:t>
      </w:r>
      <w:r w:rsidR="000569D3">
        <w:t>ed</w:t>
      </w:r>
      <w:r w:rsidR="00832C9F" w:rsidRPr="00B45606">
        <w:t xml:space="preserve"> entirely of men. </w:t>
      </w:r>
      <w:r w:rsidR="0018025D">
        <w:t>That view</w:t>
      </w:r>
      <w:r w:rsidR="004E470F">
        <w:t xml:space="preserve"> ignores </w:t>
      </w:r>
      <w:r w:rsidR="0018025D">
        <w:t>the</w:t>
      </w:r>
      <w:r w:rsidR="004E470F">
        <w:t xml:space="preserve"> convention</w:t>
      </w:r>
      <w:r w:rsidR="000569D3">
        <w:t xml:space="preserve"> </w:t>
      </w:r>
      <w:r w:rsidR="00F12870">
        <w:t>among</w:t>
      </w:r>
      <w:r w:rsidR="000569D3">
        <w:t xml:space="preserve"> Biblical Hebrew</w:t>
      </w:r>
      <w:r w:rsidR="00F12870">
        <w:t xml:space="preserve"> speakers</w:t>
      </w:r>
      <w:r w:rsidR="0018025D">
        <w:t xml:space="preserve"> that</w:t>
      </w:r>
      <w:r w:rsidR="004E470F">
        <w:t xml:space="preserve"> only men initiated sexual relations. (Not that this was actual practice, but rather it was </w:t>
      </w:r>
      <w:r w:rsidR="0018025D">
        <w:t>a</w:t>
      </w:r>
      <w:r w:rsidR="004E470F">
        <w:t xml:space="preserve"> presupposition </w:t>
      </w:r>
      <w:r w:rsidR="00F5306E">
        <w:t>for</w:t>
      </w:r>
      <w:r w:rsidR="004E470F">
        <w:t xml:space="preserve"> talking about the subject.) This explains why Moses did not address the women in his audience</w:t>
      </w:r>
      <w:r w:rsidR="00F5306E">
        <w:t xml:space="preserve">; it went without saying that </w:t>
      </w:r>
      <w:r w:rsidR="0018025D">
        <w:t>his</w:t>
      </w:r>
      <w:r w:rsidR="00F5306E">
        <w:t xml:space="preserve"> topic did not apply to them</w:t>
      </w:r>
      <w:r w:rsidR="004E470F">
        <w:t xml:space="preserve">. </w:t>
      </w:r>
      <w:r w:rsidR="00F5306E">
        <w:t xml:space="preserve">In short, </w:t>
      </w:r>
      <w:r w:rsidR="007B07C5" w:rsidRPr="00B45606">
        <w:t>Moses</w:t>
      </w:r>
      <w:r w:rsidR="00F5306E">
        <w:t xml:space="preserve">’ </w:t>
      </w:r>
      <w:r w:rsidR="009E6C04">
        <w:t xml:space="preserve">utterance </w:t>
      </w:r>
      <w:r w:rsidR="00070CD7">
        <w:t>says nothing definitive about</w:t>
      </w:r>
      <w:r w:rsidR="0018025D">
        <w:t xml:space="preserve"> </w:t>
      </w:r>
      <w:r w:rsidR="00F5306E">
        <w:t>whether</w:t>
      </w:r>
      <w:r w:rsidR="007B07C5" w:rsidRPr="00B45606">
        <w:t xml:space="preserve"> his</w:t>
      </w:r>
      <w:r w:rsidR="00070CD7">
        <w:t xml:space="preserve"> immediate</w:t>
      </w:r>
      <w:r w:rsidR="007B07C5" w:rsidRPr="00B45606">
        <w:t xml:space="preserve"> audience </w:t>
      </w:r>
      <w:r w:rsidR="00870F4B" w:rsidRPr="00B45606">
        <w:t>include</w:t>
      </w:r>
      <w:r w:rsidR="00F5306E">
        <w:t>d</w:t>
      </w:r>
      <w:r w:rsidR="00870F4B" w:rsidRPr="00B45606">
        <w:t xml:space="preserve"> </w:t>
      </w:r>
      <w:r w:rsidR="00B878DA" w:rsidRPr="00B45606">
        <w:t>wom</w:t>
      </w:r>
      <w:r w:rsidR="00F5306E">
        <w:t>e</w:t>
      </w:r>
      <w:r w:rsidR="00B878DA" w:rsidRPr="00B45606">
        <w:t>n</w:t>
      </w:r>
      <w:r w:rsidR="00F9572A">
        <w:t xml:space="preserve"> as well as men</w:t>
      </w:r>
      <w:r w:rsidR="007B07C5" w:rsidRPr="00B45606">
        <w:t>.</w:t>
      </w:r>
      <w:r w:rsidR="00261586">
        <w:t xml:space="preserve"> </w:t>
      </w:r>
    </w:p>
    <w:p w14:paraId="6CF02377" w14:textId="32B72E0F" w:rsidR="009C2795" w:rsidRPr="00830E6E" w:rsidRDefault="007B07C5" w:rsidP="00830E6E">
      <w:pPr>
        <w:pStyle w:val="Standard1218justified"/>
        <w:rPr>
          <w:i/>
          <w:iCs/>
        </w:rPr>
      </w:pPr>
      <w:r w:rsidRPr="00B45606">
        <w:t xml:space="preserve">To </w:t>
      </w:r>
      <w:r w:rsidR="00870F4B" w:rsidRPr="00B45606">
        <w:t>discourage</w:t>
      </w:r>
      <w:r w:rsidR="00023F2D">
        <w:t xml:space="preserve"> the categorical</w:t>
      </w:r>
      <w:r w:rsidR="00B878DA" w:rsidRPr="00B45606">
        <w:t xml:space="preserve"> </w:t>
      </w:r>
      <w:r w:rsidR="00870F4B" w:rsidRPr="00B45606">
        <w:t>misreading</w:t>
      </w:r>
      <w:r w:rsidR="00023F2D">
        <w:t xml:space="preserve"> of </w:t>
      </w:r>
      <w:r w:rsidR="00F5306E">
        <w:t>that verse</w:t>
      </w:r>
      <w:r w:rsidR="00023F2D">
        <w:t xml:space="preserve"> and other </w:t>
      </w:r>
      <w:r w:rsidR="00023F2D" w:rsidRPr="00B45606">
        <w:t>second-person utterances that have gender implications</w:t>
      </w:r>
      <w:r w:rsidR="00B878DA" w:rsidRPr="00B45606">
        <w:t>,</w:t>
      </w:r>
      <w:r w:rsidRPr="00B45606">
        <w:t xml:space="preserve"> </w:t>
      </w:r>
      <w:r w:rsidR="00B878DA" w:rsidRPr="00B45606">
        <w:t>this edition adds a</w:t>
      </w:r>
      <w:r w:rsidR="00870F4B" w:rsidRPr="00B45606">
        <w:t xml:space="preserve"> clarifying</w:t>
      </w:r>
      <w:r w:rsidR="00B878DA" w:rsidRPr="00B45606">
        <w:t xml:space="preserve"> footnote</w:t>
      </w:r>
      <w:r w:rsidR="00755750">
        <w:t xml:space="preserve"> to those passages</w:t>
      </w:r>
      <w:r w:rsidR="00B878DA" w:rsidRPr="00B45606">
        <w:t>.</w:t>
      </w:r>
      <w:r w:rsidR="00830E6E">
        <w:t xml:space="preserve"> In the example case, the note on “you” reads: “</w:t>
      </w:r>
      <w:r w:rsidR="00830E6E" w:rsidRPr="00830E6E">
        <w:t>I.e., the men among the people.</w:t>
      </w:r>
      <w:r w:rsidR="00830E6E">
        <w:t>”</w:t>
      </w:r>
    </w:p>
    <w:p w14:paraId="0FCB7775" w14:textId="77777777" w:rsidR="000E6B87" w:rsidRPr="00B45606" w:rsidRDefault="000E6B87">
      <w:pPr>
        <w:pBdr>
          <w:top w:val="nil"/>
          <w:left w:val="nil"/>
          <w:bottom w:val="nil"/>
          <w:right w:val="nil"/>
          <w:between w:val="nil"/>
        </w:pBdr>
        <w:rPr>
          <w:rFonts w:asciiTheme="majorBidi" w:hAnsiTheme="majorBidi" w:cstheme="majorBidi"/>
          <w:color w:val="000000"/>
          <w:szCs w:val="24"/>
          <w:vertAlign w:val="superscript"/>
        </w:rPr>
      </w:pPr>
    </w:p>
    <w:p w14:paraId="4FB71A1B" w14:textId="46016B69" w:rsidR="000E6B87" w:rsidRPr="00B45606" w:rsidRDefault="00F00BBB" w:rsidP="00F00BBB">
      <w:pPr>
        <w:pStyle w:val="Heading3"/>
      </w:pPr>
      <w:r w:rsidRPr="00B45606">
        <w:t>The Role of Literary Genre</w:t>
      </w:r>
    </w:p>
    <w:p w14:paraId="78CF391E" w14:textId="5438BBBA" w:rsidR="000E6B87" w:rsidRPr="000210C2" w:rsidRDefault="00870F4B" w:rsidP="007D5965">
      <w:pPr>
        <w:pStyle w:val="StandardFL"/>
      </w:pPr>
      <w:r w:rsidRPr="00B45606">
        <w:t>The g</w:t>
      </w:r>
      <w:r w:rsidR="00DF6774" w:rsidRPr="00B45606">
        <w:t xml:space="preserve">enre </w:t>
      </w:r>
      <w:r w:rsidRPr="00B45606">
        <w:t xml:space="preserve">of a given text </w:t>
      </w:r>
      <w:r w:rsidR="00222F7E" w:rsidRPr="00B45606">
        <w:t xml:space="preserve">is another factor that </w:t>
      </w:r>
      <w:r w:rsidR="00B174F1" w:rsidRPr="00B45606">
        <w:t>would</w:t>
      </w:r>
      <w:r w:rsidR="00DF6774" w:rsidRPr="00B45606">
        <w:t xml:space="preserve"> </w:t>
      </w:r>
      <w:r w:rsidR="007F4CBE">
        <w:t xml:space="preserve">have </w:t>
      </w:r>
      <w:r w:rsidR="00DF6774" w:rsidRPr="00B45606">
        <w:t>affect</w:t>
      </w:r>
      <w:r w:rsidR="007F4CBE">
        <w:t>ed</w:t>
      </w:r>
      <w:r w:rsidR="00DF6774" w:rsidRPr="00B45606">
        <w:t xml:space="preserve"> the</w:t>
      </w:r>
      <w:r w:rsidR="00222F7E" w:rsidRPr="00B45606">
        <w:t xml:space="preserve"> ancient audience’s</w:t>
      </w:r>
      <w:r w:rsidR="00DF6774" w:rsidRPr="00B45606">
        <w:t xml:space="preserve"> perception of whether </w:t>
      </w:r>
      <w:r w:rsidR="00F126E0">
        <w:t xml:space="preserve">a referring expression placed </w:t>
      </w:r>
      <w:r w:rsidR="00DF6774" w:rsidRPr="00B45606">
        <w:t xml:space="preserve">women in view. </w:t>
      </w:r>
      <w:r w:rsidR="00222F7E" w:rsidRPr="00B45606">
        <w:t>I</w:t>
      </w:r>
      <w:r w:rsidR="00DF6774" w:rsidRPr="00B45606">
        <w:t>n discourse</w:t>
      </w:r>
      <w:r w:rsidRPr="00B45606">
        <w:t>s</w:t>
      </w:r>
      <w:r w:rsidR="007F4CBE">
        <w:t xml:space="preserve"> that exhort their audience to adopt certain commitments or ways of living</w:t>
      </w:r>
      <w:r w:rsidRPr="00B45606">
        <w:t xml:space="preserve"> </w:t>
      </w:r>
      <w:r w:rsidR="00B174F1" w:rsidRPr="00B45606">
        <w:t>(</w:t>
      </w:r>
      <w:r w:rsidRPr="00B45606">
        <w:t>such as</w:t>
      </w:r>
      <w:r w:rsidR="007D5965" w:rsidRPr="00B45606">
        <w:t xml:space="preserve"> </w:t>
      </w:r>
      <w:r w:rsidR="0030666D" w:rsidRPr="00B45606">
        <w:t>Deuteronomy and P</w:t>
      </w:r>
      <w:r w:rsidR="007D5965" w:rsidRPr="00B45606">
        <w:t>roverbs</w:t>
      </w:r>
      <w:r w:rsidR="00B174F1" w:rsidRPr="00B45606">
        <w:t>)</w:t>
      </w:r>
      <w:r w:rsidR="00DF6774" w:rsidRPr="00B45606">
        <w:t>, the speaker</w:t>
      </w:r>
      <w:r w:rsidR="00222F7E" w:rsidRPr="00B45606">
        <w:t xml:space="preserve"> or proverb-maker often invokes</w:t>
      </w:r>
      <w:r w:rsidR="00DF6774" w:rsidRPr="00B45606">
        <w:t xml:space="preserve"> familiar situations</w:t>
      </w:r>
      <w:r w:rsidR="007F4CBE">
        <w:t>,</w:t>
      </w:r>
      <w:r w:rsidR="00DF6774" w:rsidRPr="00B45606">
        <w:t xml:space="preserve"> </w:t>
      </w:r>
      <w:r w:rsidR="007F4CBE">
        <w:t>many of which are</w:t>
      </w:r>
      <w:r w:rsidR="00DF6774" w:rsidRPr="00B45606">
        <w:t xml:space="preserve"> </w:t>
      </w:r>
      <w:r w:rsidR="00222F7E" w:rsidRPr="00B45606">
        <w:t xml:space="preserve">gendered </w:t>
      </w:r>
      <w:r w:rsidR="00DF6774" w:rsidRPr="00B45606">
        <w:t>stereotypes.</w:t>
      </w:r>
      <w:bookmarkStart w:id="1" w:name="_Ref106891959"/>
      <w:r w:rsidR="002B61D2" w:rsidRPr="00B45606">
        <w:rPr>
          <w:rStyle w:val="FootnoteReference"/>
        </w:rPr>
        <w:footnoteReference w:id="22"/>
      </w:r>
      <w:bookmarkEnd w:id="1"/>
      <w:r w:rsidR="00DF6774" w:rsidRPr="00B45606">
        <w:t xml:space="preserve"> </w:t>
      </w:r>
      <w:r w:rsidR="00B174F1" w:rsidRPr="00B45606">
        <w:t>F</w:t>
      </w:r>
      <w:r w:rsidR="00DF6774" w:rsidRPr="00B45606">
        <w:t xml:space="preserve">or </w:t>
      </w:r>
      <w:r w:rsidR="00DF6774" w:rsidRPr="00B45606">
        <w:rPr>
          <w:i/>
          <w:iCs/>
        </w:rPr>
        <w:t>legal</w:t>
      </w:r>
      <w:r w:rsidR="00DF6774" w:rsidRPr="00B45606">
        <w:t xml:space="preserve"> </w:t>
      </w:r>
      <w:r w:rsidR="008B5F2E" w:rsidRPr="00B45606">
        <w:t>matters</w:t>
      </w:r>
      <w:r w:rsidR="00DF6774" w:rsidRPr="00B45606">
        <w:t xml:space="preserve">, </w:t>
      </w:r>
      <w:r w:rsidR="000210C2" w:rsidRPr="00B45606">
        <w:t xml:space="preserve">the audience </w:t>
      </w:r>
      <w:r w:rsidR="00C64CCF" w:rsidRPr="00B45606">
        <w:t>presumably</w:t>
      </w:r>
      <w:r w:rsidR="00222F7E" w:rsidRPr="00B45606">
        <w:t xml:space="preserve"> tends to</w:t>
      </w:r>
      <w:r w:rsidR="000210C2" w:rsidRPr="00B45606">
        <w:t xml:space="preserve"> constru</w:t>
      </w:r>
      <w:r w:rsidRPr="00B45606">
        <w:t>e</w:t>
      </w:r>
      <w:r w:rsidR="00370582" w:rsidRPr="00B45606">
        <w:t xml:space="preserve"> a</w:t>
      </w:r>
      <w:r w:rsidR="000210C2" w:rsidRPr="00B45606">
        <w:t xml:space="preserve"> </w:t>
      </w:r>
      <w:r w:rsidR="00B174F1" w:rsidRPr="00B45606">
        <w:t xml:space="preserve">nonspecific </w:t>
      </w:r>
      <w:r w:rsidRPr="00B45606">
        <w:t>participant</w:t>
      </w:r>
      <w:r w:rsidR="00C64CCF" w:rsidRPr="00B45606">
        <w:t xml:space="preserve"> reference</w:t>
      </w:r>
      <w:r w:rsidR="00370582" w:rsidRPr="00B45606">
        <w:t xml:space="preserve"> broadly,</w:t>
      </w:r>
      <w:r w:rsidR="000210C2" w:rsidRPr="00B45606">
        <w:t xml:space="preserve"> </w:t>
      </w:r>
      <w:r w:rsidRPr="00B45606">
        <w:t xml:space="preserve">to include </w:t>
      </w:r>
      <w:r w:rsidR="00B174F1" w:rsidRPr="00B45606">
        <w:t xml:space="preserve">those women who </w:t>
      </w:r>
      <w:r w:rsidR="00370582" w:rsidRPr="00B45606">
        <w:t xml:space="preserve">are known to </w:t>
      </w:r>
      <w:r w:rsidR="00B174F1" w:rsidRPr="00B45606">
        <w:t>sometimes function in the capacity at issue</w:t>
      </w:r>
      <w:r w:rsidR="000210C2" w:rsidRPr="00B45606">
        <w:t xml:space="preserve">. </w:t>
      </w:r>
      <w:r w:rsidR="00C64CCF" w:rsidRPr="00B45606">
        <w:t>Even</w:t>
      </w:r>
      <w:r w:rsidR="000210C2" w:rsidRPr="00B45606">
        <w:t xml:space="preserve"> </w:t>
      </w:r>
      <w:r w:rsidRPr="00B45606">
        <w:t>in</w:t>
      </w:r>
      <w:r w:rsidR="001E0EE4" w:rsidRPr="00B45606">
        <w:t xml:space="preserve"> </w:t>
      </w:r>
      <w:r w:rsidR="001E0EE4" w:rsidRPr="00B45606">
        <w:rPr>
          <w:i/>
        </w:rPr>
        <w:t>genealog</w:t>
      </w:r>
      <w:r w:rsidR="000210C2" w:rsidRPr="00B45606">
        <w:rPr>
          <w:i/>
        </w:rPr>
        <w:t>ies</w:t>
      </w:r>
      <w:r w:rsidR="000210C2" w:rsidRPr="00B45606">
        <w:rPr>
          <w:iCs/>
        </w:rPr>
        <w:t xml:space="preserve">, </w:t>
      </w:r>
      <w:r w:rsidR="008B5F2E" w:rsidRPr="00B45606">
        <w:rPr>
          <w:iCs/>
        </w:rPr>
        <w:t xml:space="preserve">contrary to popular belief, </w:t>
      </w:r>
      <w:r w:rsidR="000210C2" w:rsidRPr="00B45606">
        <w:t xml:space="preserve">women </w:t>
      </w:r>
      <w:r w:rsidR="00DB7084">
        <w:t xml:space="preserve">are </w:t>
      </w:r>
      <w:r w:rsidR="00DF0362">
        <w:t>sometimes</w:t>
      </w:r>
      <w:r w:rsidR="000210C2" w:rsidRPr="00B45606">
        <w:t xml:space="preserve"> in view</w:t>
      </w:r>
      <w:r w:rsidR="008B5F2E" w:rsidRPr="00B45606">
        <w:t>—especially at the end of a list of segments—</w:t>
      </w:r>
      <w:r w:rsidR="000210C2" w:rsidRPr="00B45606">
        <w:t>given the</w:t>
      </w:r>
      <w:r w:rsidR="001E0EE4" w:rsidRPr="00B45606">
        <w:t xml:space="preserve"> occasiona</w:t>
      </w:r>
      <w:r w:rsidR="000210C2" w:rsidRPr="00B45606">
        <w:t>l</w:t>
      </w:r>
      <w:r w:rsidR="001E0EE4" w:rsidRPr="00B45606">
        <w:t xml:space="preserve"> identif</w:t>
      </w:r>
      <w:r w:rsidR="000210C2" w:rsidRPr="00B45606">
        <w:t>ication of</w:t>
      </w:r>
      <w:r w:rsidR="001E0EE4" w:rsidRPr="00B45606">
        <w:t xml:space="preserve"> a lineage by a woman’s name</w:t>
      </w:r>
      <w:r w:rsidR="000210C2" w:rsidRPr="00B45606">
        <w:t>.</w:t>
      </w:r>
      <w:r w:rsidR="009A1A47">
        <w:rPr>
          <w:rStyle w:val="FootnoteReference"/>
        </w:rPr>
        <w:footnoteReference w:id="23"/>
      </w:r>
    </w:p>
    <w:p w14:paraId="40CF3A2C" w14:textId="77777777" w:rsidR="000E6B87" w:rsidRPr="00B45606" w:rsidRDefault="000E6B87">
      <w:pPr>
        <w:pBdr>
          <w:top w:val="nil"/>
          <w:left w:val="nil"/>
          <w:bottom w:val="nil"/>
          <w:right w:val="nil"/>
          <w:between w:val="nil"/>
        </w:pBdr>
        <w:rPr>
          <w:rFonts w:asciiTheme="majorBidi" w:hAnsiTheme="majorBidi" w:cstheme="majorBidi"/>
          <w:color w:val="000000"/>
          <w:szCs w:val="24"/>
        </w:rPr>
      </w:pPr>
    </w:p>
    <w:p w14:paraId="255D787C" w14:textId="5561363F" w:rsidR="00F00BBB" w:rsidRPr="00E87DEF" w:rsidRDefault="00F00BBB" w:rsidP="00F00BBB">
      <w:pPr>
        <w:pStyle w:val="Heading3"/>
      </w:pPr>
      <w:r w:rsidRPr="00B45606">
        <w:t>T</w:t>
      </w:r>
      <w:r>
        <w:t xml:space="preserve">he </w:t>
      </w:r>
      <w:r w:rsidR="00FA0B25">
        <w:t xml:space="preserve">Situation-Oriented </w:t>
      </w:r>
      <w:r w:rsidRPr="00E87DEF">
        <w:t xml:space="preserve">Construal </w:t>
      </w:r>
      <w:r w:rsidR="00105301" w:rsidRPr="00E87DEF">
        <w:t>o</w:t>
      </w:r>
      <w:r w:rsidRPr="00E87DEF">
        <w:t xml:space="preserve">f </w:t>
      </w:r>
      <w:r w:rsidRPr="00E87DEF">
        <w:rPr>
          <w:rFonts w:hAnsi="SBL BibLit" w:cs="SBL BibLit"/>
          <w:rtl/>
        </w:rPr>
        <w:t>אִישׁ</w:t>
      </w:r>
    </w:p>
    <w:p w14:paraId="0DE3E878" w14:textId="3F05F639" w:rsidR="00F00BBB" w:rsidRDefault="00F00BBB" w:rsidP="00161972">
      <w:pPr>
        <w:pStyle w:val="StandardFL"/>
      </w:pPr>
      <w:r>
        <w:t xml:space="preserve">Of all the </w:t>
      </w:r>
      <w:r w:rsidR="001B5348">
        <w:t xml:space="preserve">words </w:t>
      </w:r>
      <w:r>
        <w:t xml:space="preserve">whose usage </w:t>
      </w:r>
      <w:r w:rsidR="00161972">
        <w:t>warranted</w:t>
      </w:r>
      <w:r>
        <w:t xml:space="preserve"> examin</w:t>
      </w:r>
      <w:r w:rsidR="00161972">
        <w:t>ation</w:t>
      </w:r>
      <w:r>
        <w:t xml:space="preserve">, none </w:t>
      </w:r>
      <w:r w:rsidR="00161972">
        <w:t>was</w:t>
      </w:r>
      <w:r>
        <w:t xml:space="preserve"> more important than </w:t>
      </w:r>
      <w:proofErr w:type="spellStart"/>
      <w:r w:rsidRPr="00E879C7">
        <w:rPr>
          <w:rFonts w:hAnsi="SBL BibLit" w:cs="SBL BibLit"/>
          <w:rtl/>
        </w:rPr>
        <w:t>אִיש</w:t>
      </w:r>
      <w:proofErr w:type="spellEnd"/>
      <w:r w:rsidRPr="00E879C7">
        <w:rPr>
          <w:rFonts w:hAnsi="SBL BibLit" w:cs="SBL BibLit"/>
          <w:rtl/>
        </w:rPr>
        <w:t>ׁ</w:t>
      </w:r>
      <w:r>
        <w:rPr>
          <w:rFonts w:hAnsi="SBL BibLit" w:cs="SBL BibLit"/>
        </w:rPr>
        <w:t xml:space="preserve"> </w:t>
      </w:r>
      <w:r w:rsidRPr="002B7D33">
        <w:rPr>
          <w:i/>
          <w:iCs/>
        </w:rPr>
        <w:t>’</w:t>
      </w:r>
      <w:proofErr w:type="spellStart"/>
      <w:r w:rsidRPr="002B7D33">
        <w:rPr>
          <w:i/>
          <w:iCs/>
        </w:rPr>
        <w:t>ish</w:t>
      </w:r>
      <w:proofErr w:type="spellEnd"/>
      <w:r>
        <w:rPr>
          <w:rFonts w:hAnsi="SBL BibLit" w:cs="SBL BibLit"/>
          <w:i/>
          <w:iCs/>
        </w:rPr>
        <w:t xml:space="preserve"> </w:t>
      </w:r>
      <w:r w:rsidR="00161972">
        <w:rPr>
          <w:rFonts w:hAnsi="SBL BibLit" w:cs="SBL BibLit"/>
        </w:rPr>
        <w:t>(</w:t>
      </w:r>
      <w:r>
        <w:rPr>
          <w:rFonts w:hAnsi="SBL BibLit" w:cs="SBL BibLit"/>
        </w:rPr>
        <w:t xml:space="preserve">and its irregular plural </w:t>
      </w:r>
      <w:proofErr w:type="spellStart"/>
      <w:r w:rsidRPr="00AE1961">
        <w:rPr>
          <w:rFonts w:hAnsi="SBL BibLit" w:cs="SBL BibLit"/>
          <w:rtl/>
        </w:rPr>
        <w:t>אֲנָש</w:t>
      </w:r>
      <w:proofErr w:type="spellEnd"/>
      <w:r w:rsidRPr="00AE1961">
        <w:rPr>
          <w:rFonts w:hAnsi="SBL BibLit" w:cs="SBL BibLit"/>
          <w:rtl/>
        </w:rPr>
        <w:t>ִׁ</w:t>
      </w:r>
      <w:proofErr w:type="spellStart"/>
      <w:r w:rsidRPr="00AE1961">
        <w:rPr>
          <w:rFonts w:hAnsi="SBL BibLit" w:cs="SBL BibLit"/>
          <w:rtl/>
        </w:rPr>
        <w:t>ים</w:t>
      </w:r>
      <w:proofErr w:type="spellEnd"/>
      <w:r>
        <w:rPr>
          <w:rFonts w:hAnsi="SBL BibLit" w:cs="SBL BibLit"/>
        </w:rPr>
        <w:t xml:space="preserve"> </w:t>
      </w:r>
      <w:r w:rsidRPr="00070CD7">
        <w:rPr>
          <w:i/>
        </w:rPr>
        <w:t>’</w:t>
      </w:r>
      <w:proofErr w:type="spellStart"/>
      <w:r>
        <w:rPr>
          <w:rFonts w:hAnsi="SBL BibLit" w:cs="SBL BibLit"/>
          <w:i/>
        </w:rPr>
        <w:t>anashim</w:t>
      </w:r>
      <w:proofErr w:type="spellEnd"/>
      <w:r w:rsidR="00161972">
        <w:rPr>
          <w:rFonts w:hAnsi="SBL BibLit" w:cs="SBL BibLit"/>
          <w:iCs/>
        </w:rPr>
        <w:t>)</w:t>
      </w:r>
      <w:r>
        <w:t xml:space="preserve">. </w:t>
      </w:r>
      <w:r w:rsidR="001B5348">
        <w:t>This general human noun matters</w:t>
      </w:r>
      <w:r w:rsidR="00070CD7">
        <w:t xml:space="preserve"> </w:t>
      </w:r>
      <w:r>
        <w:t xml:space="preserve">not only </w:t>
      </w:r>
      <w:r w:rsidR="00070CD7">
        <w:t xml:space="preserve">as </w:t>
      </w:r>
      <w:r>
        <w:t xml:space="preserve">the most frequent </w:t>
      </w:r>
      <w:r w:rsidR="001B5348">
        <w:t>one</w:t>
      </w:r>
      <w:r>
        <w:t xml:space="preserve"> in the </w:t>
      </w:r>
      <w:r w:rsidR="009D1828">
        <w:t>biblical text</w:t>
      </w:r>
      <w:r>
        <w:t xml:space="preserve"> (with nearly 2,200 instances</w:t>
      </w:r>
      <w:r w:rsidR="001B5348">
        <w:t xml:space="preserve"> of its masculine forms</w:t>
      </w:r>
      <w:r>
        <w:t>)</w:t>
      </w:r>
      <w:r w:rsidR="007F4CBE">
        <w:t>,</w:t>
      </w:r>
      <w:r>
        <w:t xml:space="preserve"> but also </w:t>
      </w:r>
      <w:r w:rsidR="00070CD7">
        <w:t>as a noun</w:t>
      </w:r>
      <w:r w:rsidR="001B5348">
        <w:t xml:space="preserve"> that is</w:t>
      </w:r>
      <w:r w:rsidR="00070CD7">
        <w:t xml:space="preserve"> </w:t>
      </w:r>
      <w:r w:rsidR="001B5348">
        <w:t>highly</w:t>
      </w:r>
      <w:r w:rsidRPr="00AE1961">
        <w:rPr>
          <w:iCs/>
        </w:rPr>
        <w:t xml:space="preserve"> </w:t>
      </w:r>
      <w:r w:rsidRPr="009D1313">
        <w:rPr>
          <w:iCs/>
        </w:rPr>
        <w:t>influenced by con</w:t>
      </w:r>
      <w:r>
        <w:rPr>
          <w:iCs/>
        </w:rPr>
        <w:softHyphen/>
      </w:r>
      <w:r w:rsidRPr="009D1313">
        <w:rPr>
          <w:iCs/>
        </w:rPr>
        <w:t>text</w:t>
      </w:r>
      <w:r>
        <w:t xml:space="preserve">. </w:t>
      </w:r>
      <w:r w:rsidR="003429D0">
        <w:t xml:space="preserve">For </w:t>
      </w:r>
      <w:r w:rsidR="00070CD7">
        <w:t>these</w:t>
      </w:r>
      <w:r w:rsidR="003429D0">
        <w:t xml:space="preserve"> reason</w:t>
      </w:r>
      <w:r w:rsidR="00070CD7">
        <w:t>s</w:t>
      </w:r>
      <w:r w:rsidR="003429D0">
        <w:t>, and because t</w:t>
      </w:r>
      <w:r w:rsidR="00D0147D">
        <w:t xml:space="preserve">he approach taken in </w:t>
      </w:r>
      <w:r w:rsidR="003429D0">
        <w:t>this</w:t>
      </w:r>
      <w:r w:rsidR="00D0147D">
        <w:t xml:space="preserve"> revision</w:t>
      </w:r>
      <w:r w:rsidR="003429D0">
        <w:t xml:space="preserve"> </w:t>
      </w:r>
      <w:r w:rsidR="001B5348">
        <w:t>was</w:t>
      </w:r>
      <w:r w:rsidR="003429D0">
        <w:t xml:space="preserve"> a distinctive one, the construal of </w:t>
      </w:r>
      <w:proofErr w:type="spellStart"/>
      <w:r w:rsidR="003429D0" w:rsidRPr="00E879C7">
        <w:rPr>
          <w:rFonts w:hAnsi="SBL BibLit" w:cs="SBL BibLit"/>
          <w:rtl/>
        </w:rPr>
        <w:t>אִיש</w:t>
      </w:r>
      <w:proofErr w:type="spellEnd"/>
      <w:r w:rsidR="003429D0" w:rsidRPr="00E879C7">
        <w:rPr>
          <w:rFonts w:hAnsi="SBL BibLit" w:cs="SBL BibLit"/>
          <w:rtl/>
        </w:rPr>
        <w:t>ׁ</w:t>
      </w:r>
      <w:r w:rsidR="003429D0">
        <w:t xml:space="preserve"> will now be discussed at some length.</w:t>
      </w:r>
    </w:p>
    <w:p w14:paraId="5A521311" w14:textId="37EE4ABD" w:rsidR="006A1CC9" w:rsidRDefault="001B5348" w:rsidP="00C27795">
      <w:pPr>
        <w:pStyle w:val="Standard1218justified"/>
        <w:rPr>
          <w:lang w:val="en-GB" w:bidi="he-IL"/>
        </w:rPr>
      </w:pPr>
      <w:r>
        <w:t>The</w:t>
      </w:r>
      <w:r w:rsidR="00F00BBB">
        <w:t xml:space="preserve"> noun</w:t>
      </w:r>
      <w:r>
        <w:t xml:space="preserve"> </w:t>
      </w:r>
      <w:r w:rsidRPr="00D407D4">
        <w:rPr>
          <w:rFonts w:hAnsi="SBL BibLit" w:cs="SBL BibLit"/>
          <w:rtl/>
          <w:lang w:bidi="he-IL"/>
        </w:rPr>
        <w:t>אִישׁ</w:t>
      </w:r>
      <w:r w:rsidR="00F00BBB">
        <w:t xml:space="preserve"> is commonly glossed in English as </w:t>
      </w:r>
      <w:r w:rsidR="000E2D74">
        <w:t>“</w:t>
      </w:r>
      <w:r w:rsidR="00F00BBB">
        <w:t>man</w:t>
      </w:r>
      <w:r>
        <w:t>.</w:t>
      </w:r>
      <w:r w:rsidR="000E2D74">
        <w:t>”</w:t>
      </w:r>
      <w:r w:rsidR="00F00BBB">
        <w:t xml:space="preserve"> </w:t>
      </w:r>
      <w:r w:rsidR="00DB5493">
        <w:t xml:space="preserve">This does not mean, however, that </w:t>
      </w:r>
      <w:r w:rsidR="003429D0">
        <w:t>it</w:t>
      </w:r>
      <w:r w:rsidR="00DB5493">
        <w:t>s purpose is to</w:t>
      </w:r>
      <w:r w:rsidR="003429D0">
        <w:t xml:space="preserve"> convey that</w:t>
      </w:r>
      <w:r w:rsidR="009D1828">
        <w:t xml:space="preserve"> its referent </w:t>
      </w:r>
      <w:r w:rsidR="003429D0">
        <w:t xml:space="preserve">is </w:t>
      </w:r>
      <w:r w:rsidR="009D1828">
        <w:t>an adult male</w:t>
      </w:r>
      <w:r w:rsidR="00F00BBB">
        <w:t xml:space="preserve">. </w:t>
      </w:r>
      <w:r w:rsidR="00DB5493">
        <w:t>In ancient Hebrew</w:t>
      </w:r>
      <w:r w:rsidR="00DB5493" w:rsidRPr="00F411BE">
        <w:t xml:space="preserve"> </w:t>
      </w:r>
      <w:r w:rsidR="00F00BBB" w:rsidRPr="00F411BE">
        <w:t>usage</w:t>
      </w:r>
      <w:r w:rsidR="00DB5493">
        <w:t>,</w:t>
      </w:r>
      <w:r w:rsidR="00F00BBB" w:rsidRPr="00F411BE">
        <w:t xml:space="preserve"> </w:t>
      </w:r>
      <w:r w:rsidR="00F00BBB" w:rsidRPr="00D407D4">
        <w:rPr>
          <w:rFonts w:hAnsi="SBL BibLit" w:cs="SBL BibLit"/>
          <w:rtl/>
          <w:lang w:bidi="he-IL"/>
        </w:rPr>
        <w:t>אִישׁ</w:t>
      </w:r>
      <w:r w:rsidR="00F00BBB">
        <w:t xml:space="preserve"> almost always </w:t>
      </w:r>
      <w:r w:rsidR="003429D0">
        <w:t>reflects</w:t>
      </w:r>
      <w:r w:rsidR="00F00BBB">
        <w:t xml:space="preserve"> </w:t>
      </w:r>
      <w:r w:rsidR="00DB5493">
        <w:t>a</w:t>
      </w:r>
      <w:r w:rsidR="00F00BBB">
        <w:t xml:space="preserve"> speaker</w:t>
      </w:r>
      <w:r w:rsidR="00F00BBB" w:rsidRPr="00B45606">
        <w:t>’s c</w:t>
      </w:r>
      <w:r w:rsidR="00F00BBB">
        <w:t xml:space="preserve">oncern for </w:t>
      </w:r>
      <w:r w:rsidR="00DB5493">
        <w:t>the</w:t>
      </w:r>
      <w:r w:rsidR="003429D0">
        <w:t xml:space="preserve"> </w:t>
      </w:r>
      <w:r w:rsidR="00F00BBB">
        <w:t>referent</w:t>
      </w:r>
      <w:r w:rsidR="00F00BBB" w:rsidRPr="00B45606">
        <w:t xml:space="preserve">’s </w:t>
      </w:r>
      <w:r w:rsidR="00F00BBB" w:rsidRPr="00097315">
        <w:rPr>
          <w:i/>
          <w:iCs/>
        </w:rPr>
        <w:t>situatedness</w:t>
      </w:r>
      <w:r w:rsidR="00F00BBB">
        <w:t xml:space="preserve">. That is, </w:t>
      </w:r>
      <w:r w:rsidR="00F00BBB">
        <w:rPr>
          <w:lang w:val="en-GB"/>
        </w:rPr>
        <w:t xml:space="preserve">like </w:t>
      </w:r>
      <w:r w:rsidR="00F00BBB">
        <w:rPr>
          <w:i/>
          <w:iCs/>
          <w:lang w:val="en-GB"/>
        </w:rPr>
        <w:t>man</w:t>
      </w:r>
      <w:r w:rsidR="00F00BBB">
        <w:rPr>
          <w:lang w:val="en-GB"/>
        </w:rPr>
        <w:t xml:space="preserve"> in English, </w:t>
      </w:r>
      <w:proofErr w:type="spellStart"/>
      <w:r w:rsidR="00F00BBB" w:rsidRPr="00DF7DAF">
        <w:rPr>
          <w:rFonts w:ascii="SBL BibLit" w:hAnsi="SBL BibLit" w:cs="SBL BibLit"/>
          <w:rtl/>
          <w:lang w:val="en-GB"/>
        </w:rPr>
        <w:t>אִיש</w:t>
      </w:r>
      <w:proofErr w:type="spellEnd"/>
      <w:r w:rsidR="00F00BBB" w:rsidRPr="00DF7DAF">
        <w:rPr>
          <w:rFonts w:ascii="SBL BibLit" w:hAnsi="SBL BibLit" w:cs="SBL BibLit"/>
          <w:rtl/>
          <w:lang w:val="en-GB"/>
        </w:rPr>
        <w:t>ׁ</w:t>
      </w:r>
      <w:r w:rsidR="00F00BBB">
        <w:rPr>
          <w:lang w:val="en-GB"/>
        </w:rPr>
        <w:t xml:space="preserve"> is the standard </w:t>
      </w:r>
      <w:r w:rsidR="00F00BBB" w:rsidRPr="00157E3A">
        <w:rPr>
          <w:lang w:val="en-GB"/>
        </w:rPr>
        <w:t>situating noun</w:t>
      </w:r>
      <w:r w:rsidR="00F00BBB">
        <w:rPr>
          <w:lang w:val="en-GB"/>
        </w:rPr>
        <w:t xml:space="preserve"> for human participants.</w:t>
      </w:r>
      <w:r w:rsidR="00F00BBB">
        <w:rPr>
          <w:rStyle w:val="FootnoteReference"/>
          <w:lang w:val="en-GB"/>
        </w:rPr>
        <w:footnoteReference w:id="24"/>
      </w:r>
      <w:r w:rsidR="00F00BBB">
        <w:rPr>
          <w:lang w:val="en-GB"/>
        </w:rPr>
        <w:t xml:space="preserve"> It is the clearly preferred label for</w:t>
      </w:r>
      <w:r w:rsidR="00F00BBB">
        <w:rPr>
          <w:lang w:val="en-GB" w:bidi="he-IL"/>
        </w:rPr>
        <w:t xml:space="preserve"> performing various situating functions</w:t>
      </w:r>
      <w:r w:rsidR="00916587">
        <w:rPr>
          <w:lang w:val="en-GB" w:bidi="he-IL"/>
        </w:rPr>
        <w:t>—</w:t>
      </w:r>
      <w:r w:rsidR="009D1828">
        <w:rPr>
          <w:lang w:val="en-GB" w:bidi="he-IL"/>
        </w:rPr>
        <w:t>even</w:t>
      </w:r>
      <w:r w:rsidR="00F00BBB">
        <w:rPr>
          <w:lang w:val="en-GB" w:bidi="he-IL"/>
        </w:rPr>
        <w:t xml:space="preserve"> in settings </w:t>
      </w:r>
      <w:r w:rsidR="00F00BBB">
        <w:rPr>
          <w:lang w:val="en-GB"/>
        </w:rPr>
        <w:t>where gender is not at stake</w:t>
      </w:r>
      <w:r w:rsidR="00F00BBB">
        <w:rPr>
          <w:lang w:val="en-GB" w:bidi="he-IL"/>
        </w:rPr>
        <w:t xml:space="preserve">. </w:t>
      </w:r>
      <w:r w:rsidR="006A1CC9">
        <w:rPr>
          <w:lang w:val="en-GB" w:bidi="he-IL"/>
        </w:rPr>
        <w:t xml:space="preserve">One such function is to </w:t>
      </w:r>
      <w:r w:rsidR="00A91AC8">
        <w:rPr>
          <w:lang w:val="en-GB" w:bidi="he-IL"/>
        </w:rPr>
        <w:t xml:space="preserve">enable the </w:t>
      </w:r>
      <w:r w:rsidR="006A1CC9">
        <w:rPr>
          <w:lang w:val="en-GB" w:bidi="he-IL"/>
        </w:rPr>
        <w:t>quick sketch</w:t>
      </w:r>
      <w:r w:rsidR="00A91AC8">
        <w:rPr>
          <w:lang w:val="en-GB" w:bidi="he-IL"/>
        </w:rPr>
        <w:t xml:space="preserve"> of</w:t>
      </w:r>
      <w:r w:rsidR="006A1CC9">
        <w:rPr>
          <w:lang w:val="en-GB" w:bidi="he-IL"/>
        </w:rPr>
        <w:t xml:space="preserve"> a situation in terms of its</w:t>
      </w:r>
      <w:r w:rsidR="00FA2839">
        <w:rPr>
          <w:lang w:val="en-GB" w:bidi="he-IL"/>
        </w:rPr>
        <w:t xml:space="preserve"> necessary</w:t>
      </w:r>
      <w:r w:rsidR="006A1CC9">
        <w:rPr>
          <w:lang w:val="en-GB" w:bidi="he-IL"/>
        </w:rPr>
        <w:t xml:space="preserve"> participants, while </w:t>
      </w:r>
      <w:r w:rsidR="00A91AC8">
        <w:rPr>
          <w:lang w:val="en-GB" w:bidi="he-IL"/>
        </w:rPr>
        <w:t>also</w:t>
      </w:r>
      <w:r w:rsidR="006A1CC9">
        <w:rPr>
          <w:lang w:val="en-GB" w:bidi="he-IL"/>
        </w:rPr>
        <w:t xml:space="preserve"> </w:t>
      </w:r>
      <w:r w:rsidR="00FA2839">
        <w:rPr>
          <w:lang w:val="en-GB" w:bidi="he-IL"/>
        </w:rPr>
        <w:t>framing</w:t>
      </w:r>
      <w:r w:rsidR="006A1CC9">
        <w:rPr>
          <w:lang w:val="en-GB" w:bidi="he-IL"/>
        </w:rPr>
        <w:t xml:space="preserve"> the participants in terms of their situation.</w:t>
      </w:r>
      <w:r w:rsidR="00A91AC8">
        <w:rPr>
          <w:lang w:val="en-GB" w:bidi="he-IL"/>
        </w:rPr>
        <w:t xml:space="preserve"> </w:t>
      </w:r>
      <w:r w:rsidR="006A1CC9">
        <w:rPr>
          <w:lang w:val="en-GB" w:bidi="he-IL"/>
        </w:rPr>
        <w:t>For example,</w:t>
      </w:r>
      <w:r w:rsidR="00FD25D0">
        <w:rPr>
          <w:lang w:val="en-GB" w:bidi="he-IL"/>
        </w:rPr>
        <w:t xml:space="preserve"> </w:t>
      </w:r>
      <w:r w:rsidR="00DF38AE">
        <w:rPr>
          <w:lang w:val="en-GB" w:bidi="he-IL"/>
        </w:rPr>
        <w:t>G</w:t>
      </w:r>
      <w:r w:rsidR="00DF38AE">
        <w:rPr>
          <w:smallCaps/>
          <w:lang w:val="en-GB" w:bidi="he-IL"/>
        </w:rPr>
        <w:t>od</w:t>
      </w:r>
      <w:r w:rsidR="00DF38AE">
        <w:rPr>
          <w:lang w:val="en-GB" w:bidi="he-IL"/>
        </w:rPr>
        <w:t>, while listing the characteristic actions of a righteous man,</w:t>
      </w:r>
      <w:r w:rsidR="00FD25D0">
        <w:rPr>
          <w:lang w:val="en-GB" w:bidi="he-IL"/>
        </w:rPr>
        <w:t xml:space="preserve"> can simply say</w:t>
      </w:r>
    </w:p>
    <w:p w14:paraId="41A7C94F" w14:textId="683EEFF3" w:rsidR="00DF38AE" w:rsidRPr="00DF38AE" w:rsidRDefault="00DF38AE" w:rsidP="00DF38AE">
      <w:pPr>
        <w:pStyle w:val="Standard1218justified"/>
        <w:jc w:val="center"/>
        <w:rPr>
          <w:lang w:bidi="he-IL"/>
        </w:rPr>
      </w:pPr>
      <w:r w:rsidRPr="00DF38AE">
        <w:rPr>
          <w:rFonts w:hAnsi="SBL BibLit" w:cs="SBL BibLit" w:hint="cs"/>
          <w:sz w:val="28"/>
          <w:szCs w:val="28"/>
          <w:rtl/>
          <w:lang w:bidi="he-IL"/>
        </w:rPr>
        <w:t xml:space="preserve">מִשְׁפַּט אֱמֶת יַעֲשֶׂה בֵּין </w:t>
      </w:r>
      <w:r w:rsidRPr="00DF38AE">
        <w:rPr>
          <w:rFonts w:hAnsi="SBL BibLit" w:cs="SBL BibLit" w:hint="cs"/>
          <w:sz w:val="28"/>
          <w:szCs w:val="28"/>
          <w:highlight w:val="lightGray"/>
          <w:rtl/>
          <w:lang w:bidi="he-IL"/>
        </w:rPr>
        <w:t>אִישׁ</w:t>
      </w:r>
      <w:r w:rsidRPr="00DF38AE">
        <w:rPr>
          <w:rFonts w:hAnsi="SBL BibLit" w:cs="SBL BibLit" w:hint="cs"/>
          <w:sz w:val="28"/>
          <w:szCs w:val="28"/>
          <w:rtl/>
          <w:lang w:bidi="he-IL"/>
        </w:rPr>
        <w:t xml:space="preserve"> לְ</w:t>
      </w:r>
      <w:r w:rsidRPr="00DF38AE">
        <w:rPr>
          <w:rFonts w:hAnsi="SBL BibLit" w:cs="SBL BibLit" w:hint="cs"/>
          <w:sz w:val="28"/>
          <w:szCs w:val="28"/>
          <w:highlight w:val="lightGray"/>
          <w:rtl/>
          <w:lang w:bidi="he-IL"/>
        </w:rPr>
        <w:t>אִישׁ</w:t>
      </w:r>
    </w:p>
    <w:p w14:paraId="1F574F96" w14:textId="7E652F9F" w:rsidR="00FD25D0" w:rsidRPr="00097315" w:rsidRDefault="00DF38AE" w:rsidP="00097315">
      <w:pPr>
        <w:pStyle w:val="Standard1218justified"/>
        <w:spacing w:after="120"/>
        <w:ind w:firstLine="0"/>
        <w:jc w:val="center"/>
        <w:rPr>
          <w:rFonts w:eastAsia="Crimson Pro" w:cs="Crimson Pro"/>
          <w:sz w:val="22"/>
          <w:szCs w:val="20"/>
          <w:lang w:val="en-GB" w:bidi="he-IL"/>
        </w:rPr>
      </w:pPr>
      <w:r w:rsidRPr="00DF38AE">
        <w:rPr>
          <w:rFonts w:eastAsia="Crimson Pro" w:cs="Crimson Pro"/>
          <w:sz w:val="22"/>
          <w:szCs w:val="20"/>
          <w:lang w:bidi="he-IL"/>
        </w:rPr>
        <w:t>he has</w:t>
      </w:r>
      <w:r>
        <w:rPr>
          <w:rFonts w:eastAsia="Crimson Pro" w:cs="Crimson Pro"/>
          <w:sz w:val="22"/>
          <w:szCs w:val="20"/>
          <w:lang w:bidi="he-IL"/>
        </w:rPr>
        <w:t>…</w:t>
      </w:r>
      <w:r w:rsidRPr="00DF38AE">
        <w:rPr>
          <w:rFonts w:eastAsia="Crimson Pro" w:cs="Crimson Pro"/>
          <w:sz w:val="22"/>
          <w:szCs w:val="20"/>
          <w:lang w:bidi="he-IL"/>
        </w:rPr>
        <w:t xml:space="preserve">executed true justice between </w:t>
      </w:r>
      <w:r w:rsidRPr="00DF38AE">
        <w:rPr>
          <w:rFonts w:eastAsia="Crimson Pro" w:cs="Crimson Pro"/>
          <w:sz w:val="22"/>
          <w:szCs w:val="20"/>
          <w:u w:val="single"/>
          <w:lang w:bidi="he-IL"/>
        </w:rPr>
        <w:t>one party</w:t>
      </w:r>
      <w:r w:rsidRPr="00DF38AE">
        <w:rPr>
          <w:rFonts w:eastAsia="Crimson Pro" w:cs="Crimson Pro"/>
          <w:sz w:val="22"/>
          <w:szCs w:val="20"/>
          <w:lang w:bidi="he-IL"/>
        </w:rPr>
        <w:t xml:space="preserve"> and </w:t>
      </w:r>
      <w:r w:rsidRPr="00DF38AE">
        <w:rPr>
          <w:rFonts w:eastAsia="Crimson Pro" w:cs="Crimson Pro"/>
          <w:sz w:val="22"/>
          <w:szCs w:val="20"/>
          <w:u w:val="single"/>
          <w:lang w:bidi="he-IL"/>
        </w:rPr>
        <w:t>the other</w:t>
      </w:r>
      <w:r w:rsidR="00FD25D0">
        <w:rPr>
          <w:rFonts w:eastAsia="Crimson Pro" w:cs="Crimson Pro"/>
          <w:sz w:val="22"/>
          <w:szCs w:val="20"/>
          <w:lang w:bidi="he-IL"/>
        </w:rPr>
        <w:t xml:space="preserve"> (</w:t>
      </w:r>
      <w:r w:rsidR="00DD778B">
        <w:rPr>
          <w:rFonts w:eastAsia="Crimson Pro" w:cs="Crimson Pro"/>
          <w:sz w:val="22"/>
          <w:szCs w:val="20"/>
          <w:lang w:bidi="he-IL"/>
        </w:rPr>
        <w:t>Ezek. 18.8</w:t>
      </w:r>
      <w:r w:rsidR="0035522B">
        <w:rPr>
          <w:rFonts w:eastAsia="Crimson Pro" w:cs="Crimson Pro"/>
          <w:sz w:val="22"/>
          <w:szCs w:val="20"/>
          <w:lang w:bidi="he-IL"/>
        </w:rPr>
        <w:t>, RJPS</w:t>
      </w:r>
      <w:r w:rsidR="00FD25D0">
        <w:rPr>
          <w:rFonts w:eastAsia="Crimson Pro" w:cs="Crimson Pro"/>
          <w:sz w:val="22"/>
          <w:szCs w:val="20"/>
          <w:lang w:bidi="he-IL"/>
        </w:rPr>
        <w:t>)</w:t>
      </w:r>
    </w:p>
    <w:p w14:paraId="2B59082B" w14:textId="1C1E934D" w:rsidR="00FD25D0" w:rsidRDefault="00FD25D0" w:rsidP="00097315">
      <w:pPr>
        <w:pStyle w:val="StandardFL"/>
        <w:rPr>
          <w:lang w:val="en-GB"/>
        </w:rPr>
      </w:pPr>
      <w:r>
        <w:rPr>
          <w:lang w:val="en-GB"/>
        </w:rPr>
        <w:t>where</w:t>
      </w:r>
      <w:r w:rsidR="009B39AB">
        <w:rPr>
          <w:lang w:val="en-GB"/>
        </w:rPr>
        <w:t xml:space="preserve"> the </w:t>
      </w:r>
      <w:r w:rsidR="00FA2839">
        <w:rPr>
          <w:lang w:val="en-GB"/>
        </w:rPr>
        <w:t>counterposed</w:t>
      </w:r>
      <w:r w:rsidR="009B39AB">
        <w:rPr>
          <w:lang w:val="en-GB"/>
        </w:rPr>
        <w:t xml:space="preserve"> instances of</w:t>
      </w:r>
      <w:r>
        <w:rPr>
          <w:lang w:val="en-GB"/>
        </w:rPr>
        <w:t xml:space="preserve"> </w:t>
      </w:r>
      <w:proofErr w:type="spellStart"/>
      <w:r w:rsidR="009B39AB" w:rsidRPr="00DF7DAF">
        <w:rPr>
          <w:rFonts w:ascii="SBL BibLit" w:hAnsi="SBL BibLit" w:cs="SBL BibLit"/>
          <w:rtl/>
          <w:lang w:val="en-GB"/>
        </w:rPr>
        <w:t>אִיש</w:t>
      </w:r>
      <w:proofErr w:type="spellEnd"/>
      <w:r w:rsidR="009B39AB" w:rsidRPr="00DF7DAF">
        <w:rPr>
          <w:rFonts w:ascii="SBL BibLit" w:hAnsi="SBL BibLit" w:cs="SBL BibLit"/>
          <w:rtl/>
          <w:lang w:val="en-GB"/>
        </w:rPr>
        <w:t>ׁ</w:t>
      </w:r>
      <w:r w:rsidR="009B39AB">
        <w:rPr>
          <w:lang w:val="en-GB"/>
        </w:rPr>
        <w:t xml:space="preserve"> </w:t>
      </w:r>
      <w:r w:rsidR="00B562FF">
        <w:rPr>
          <w:lang w:val="en-GB"/>
        </w:rPr>
        <w:t>evoke</w:t>
      </w:r>
      <w:r w:rsidR="00DD778B">
        <w:rPr>
          <w:lang w:val="en-GB"/>
        </w:rPr>
        <w:t xml:space="preserve"> </w:t>
      </w:r>
      <w:r w:rsidR="00B562FF">
        <w:rPr>
          <w:lang w:val="en-GB"/>
        </w:rPr>
        <w:t>the</w:t>
      </w:r>
      <w:r w:rsidR="00DD778B">
        <w:rPr>
          <w:lang w:val="en-GB"/>
        </w:rPr>
        <w:t xml:space="preserve"> </w:t>
      </w:r>
      <w:r w:rsidR="00EB5B7E">
        <w:rPr>
          <w:lang w:val="en-GB"/>
        </w:rPr>
        <w:t xml:space="preserve">two </w:t>
      </w:r>
      <w:r w:rsidR="00DD778B">
        <w:rPr>
          <w:lang w:val="en-GB"/>
        </w:rPr>
        <w:t>constitutive participants in a legal dispute, namely the contending parties</w:t>
      </w:r>
      <w:r w:rsidR="00E33104">
        <w:rPr>
          <w:lang w:val="en-GB"/>
        </w:rPr>
        <w:t>.</w:t>
      </w:r>
      <w:r w:rsidR="00A42DD4">
        <w:rPr>
          <w:lang w:val="en-GB"/>
        </w:rPr>
        <w:t xml:space="preserve"> </w:t>
      </w:r>
      <w:r w:rsidR="00F92A29">
        <w:rPr>
          <w:lang w:val="en-GB"/>
        </w:rPr>
        <w:t xml:space="preserve">By </w:t>
      </w:r>
      <w:proofErr w:type="spellStart"/>
      <w:r w:rsidR="00F92A29">
        <w:rPr>
          <w:lang w:val="en-GB"/>
        </w:rPr>
        <w:t>labeling</w:t>
      </w:r>
      <w:proofErr w:type="spellEnd"/>
      <w:r w:rsidR="00F92A29">
        <w:rPr>
          <w:lang w:val="en-GB"/>
        </w:rPr>
        <w:t xml:space="preserve"> those participants in terms of their </w:t>
      </w:r>
      <w:r w:rsidR="00AF72B0">
        <w:rPr>
          <w:lang w:val="en-GB"/>
        </w:rPr>
        <w:t xml:space="preserve">stereotypical </w:t>
      </w:r>
      <w:r w:rsidR="00F92A29">
        <w:rPr>
          <w:lang w:val="en-GB"/>
        </w:rPr>
        <w:t>situation, the speaker convey</w:t>
      </w:r>
      <w:r w:rsidR="00724ADF">
        <w:rPr>
          <w:lang w:val="en-GB"/>
        </w:rPr>
        <w:t>s</w:t>
      </w:r>
      <w:r w:rsidR="00F92A29">
        <w:rPr>
          <w:lang w:val="en-GB"/>
        </w:rPr>
        <w:t xml:space="preserve"> a</w:t>
      </w:r>
      <w:r w:rsidR="00A42DD4">
        <w:rPr>
          <w:lang w:val="en-GB"/>
        </w:rPr>
        <w:t xml:space="preserve"> schematic </w:t>
      </w:r>
      <w:r w:rsidR="00F92A29">
        <w:rPr>
          <w:lang w:val="en-GB"/>
        </w:rPr>
        <w:t>picture that is</w:t>
      </w:r>
      <w:r w:rsidR="00A42DD4">
        <w:rPr>
          <w:lang w:val="en-GB"/>
        </w:rPr>
        <w:t xml:space="preserve"> readily grasped.</w:t>
      </w:r>
      <w:r w:rsidR="00FA0B25">
        <w:rPr>
          <w:lang w:val="en-GB"/>
        </w:rPr>
        <w:t xml:space="preserve"> </w:t>
      </w:r>
      <w:r w:rsidR="00B562FF">
        <w:rPr>
          <w:lang w:val="en-GB"/>
        </w:rPr>
        <w:t xml:space="preserve">This makes for efficient communication. </w:t>
      </w:r>
      <w:r w:rsidR="0035522B">
        <w:rPr>
          <w:lang w:val="en-GB"/>
        </w:rPr>
        <w:t>(</w:t>
      </w:r>
      <w:r w:rsidR="005E213D">
        <w:rPr>
          <w:lang w:val="en-GB"/>
        </w:rPr>
        <w:t>The alternative—u</w:t>
      </w:r>
      <w:r w:rsidR="00AF72B0">
        <w:rPr>
          <w:lang w:val="en-GB"/>
        </w:rPr>
        <w:t xml:space="preserve">sing </w:t>
      </w:r>
      <w:r w:rsidR="0035522B">
        <w:rPr>
          <w:lang w:val="en-GB"/>
        </w:rPr>
        <w:t xml:space="preserve">labels that are </w:t>
      </w:r>
      <w:r w:rsidR="00AF72B0">
        <w:rPr>
          <w:lang w:val="en-GB"/>
        </w:rPr>
        <w:t>m</w:t>
      </w:r>
      <w:r w:rsidR="00FA0B25">
        <w:rPr>
          <w:lang w:val="en-GB"/>
        </w:rPr>
        <w:t xml:space="preserve">ore </w:t>
      </w:r>
      <w:r w:rsidR="00AF72B0">
        <w:rPr>
          <w:lang w:val="en-GB"/>
        </w:rPr>
        <w:t>informative</w:t>
      </w:r>
      <w:r w:rsidR="0035522B">
        <w:rPr>
          <w:lang w:val="en-GB"/>
        </w:rPr>
        <w:t>,</w:t>
      </w:r>
      <w:r w:rsidR="00FA0B25">
        <w:rPr>
          <w:lang w:val="en-GB"/>
        </w:rPr>
        <w:t xml:space="preserve"> such as</w:t>
      </w:r>
      <w:r w:rsidR="00AF72B0">
        <w:rPr>
          <w:lang w:val="en-GB"/>
        </w:rPr>
        <w:t xml:space="preserve"> </w:t>
      </w:r>
      <w:proofErr w:type="spellStart"/>
      <w:r w:rsidR="00AF72B0" w:rsidRPr="00AF72B0">
        <w:rPr>
          <w:rFonts w:ascii="SBL BibLit" w:hAnsi="SBL BibLit" w:cs="SBL BibLit" w:hint="cs"/>
          <w:color w:val="000000"/>
          <w:rtl/>
        </w:rPr>
        <w:t>עֵד</w:t>
      </w:r>
      <w:proofErr w:type="spellEnd"/>
      <w:r w:rsidR="00AF72B0">
        <w:rPr>
          <w:lang w:val="en-GB"/>
        </w:rPr>
        <w:t xml:space="preserve"> </w:t>
      </w:r>
      <w:r w:rsidR="00AF72B0">
        <w:rPr>
          <w:i/>
          <w:iCs/>
          <w:lang w:val="en-GB"/>
        </w:rPr>
        <w:t>‘ed</w:t>
      </w:r>
      <w:r w:rsidR="00FA0B25">
        <w:rPr>
          <w:lang w:val="en-GB"/>
        </w:rPr>
        <w:t xml:space="preserve"> “</w:t>
      </w:r>
      <w:r w:rsidR="00AF72B0">
        <w:rPr>
          <w:lang w:val="en-GB"/>
        </w:rPr>
        <w:t>accuser</w:t>
      </w:r>
      <w:r w:rsidR="00FA0B25">
        <w:rPr>
          <w:lang w:val="en-GB"/>
        </w:rPr>
        <w:t xml:space="preserve">” </w:t>
      </w:r>
      <w:r w:rsidR="0035522B">
        <w:rPr>
          <w:lang w:val="en-GB"/>
        </w:rPr>
        <w:t xml:space="preserve">for the </w:t>
      </w:r>
      <w:r w:rsidR="00AF72B0">
        <w:rPr>
          <w:lang w:val="en-GB"/>
        </w:rPr>
        <w:t>plaintiff</w:t>
      </w:r>
      <w:r w:rsidR="005E213D">
        <w:rPr>
          <w:lang w:val="en-GB"/>
        </w:rPr>
        <w:t>—</w:t>
      </w:r>
      <w:r w:rsidR="00FA0B25">
        <w:rPr>
          <w:lang w:val="en-GB"/>
        </w:rPr>
        <w:t xml:space="preserve">would </w:t>
      </w:r>
      <w:r w:rsidR="0035522B">
        <w:rPr>
          <w:lang w:val="en-GB"/>
        </w:rPr>
        <w:t>only</w:t>
      </w:r>
      <w:r w:rsidR="00FA0B25">
        <w:rPr>
          <w:lang w:val="en-GB"/>
        </w:rPr>
        <w:t xml:space="preserve"> complicate the picture.</w:t>
      </w:r>
      <w:r w:rsidR="0035522B">
        <w:rPr>
          <w:lang w:val="en-GB"/>
        </w:rPr>
        <w:t>)</w:t>
      </w:r>
    </w:p>
    <w:p w14:paraId="233DCD12" w14:textId="1DD9953E" w:rsidR="00C27795" w:rsidRPr="00097315" w:rsidRDefault="006A1CC9" w:rsidP="00FD25D0">
      <w:pPr>
        <w:pStyle w:val="Standard1218justified"/>
        <w:rPr>
          <w:sz w:val="22"/>
          <w:szCs w:val="20"/>
          <w:lang w:val="en-GB"/>
        </w:rPr>
      </w:pPr>
      <w:r>
        <w:rPr>
          <w:lang w:val="en-GB" w:bidi="he-IL"/>
        </w:rPr>
        <w:t>Another</w:t>
      </w:r>
      <w:r w:rsidR="00D700D7">
        <w:rPr>
          <w:lang w:val="en-GB" w:bidi="he-IL"/>
        </w:rPr>
        <w:t xml:space="preserve"> example</w:t>
      </w:r>
      <w:r w:rsidR="0035522B">
        <w:rPr>
          <w:lang w:val="en-GB" w:bidi="he-IL"/>
        </w:rPr>
        <w:t xml:space="preserve"> of</w:t>
      </w:r>
      <w:r w:rsidR="003633AE">
        <w:rPr>
          <w:lang w:val="en-GB" w:bidi="he-IL"/>
        </w:rPr>
        <w:t xml:space="preserve"> using</w:t>
      </w:r>
      <w:r w:rsidR="0035522B">
        <w:rPr>
          <w:lang w:val="en-GB" w:bidi="he-IL"/>
        </w:rPr>
        <w:t xml:space="preserve"> </w:t>
      </w:r>
      <w:proofErr w:type="spellStart"/>
      <w:r w:rsidR="0035522B" w:rsidRPr="00DF7DAF">
        <w:rPr>
          <w:rFonts w:ascii="SBL BibLit" w:hAnsi="SBL BibLit" w:cs="SBL BibLit"/>
          <w:rtl/>
          <w:lang w:val="en-GB"/>
        </w:rPr>
        <w:t>אִיש</w:t>
      </w:r>
      <w:proofErr w:type="spellEnd"/>
      <w:r w:rsidR="0035522B" w:rsidRPr="00DF7DAF">
        <w:rPr>
          <w:rFonts w:ascii="SBL BibLit" w:hAnsi="SBL BibLit" w:cs="SBL BibLit"/>
          <w:rtl/>
          <w:lang w:val="en-GB"/>
        </w:rPr>
        <w:t>ׁ</w:t>
      </w:r>
      <w:r w:rsidR="0035522B">
        <w:rPr>
          <w:lang w:val="en-GB" w:bidi="he-IL"/>
        </w:rPr>
        <w:t xml:space="preserve"> </w:t>
      </w:r>
      <w:r w:rsidR="003633AE">
        <w:rPr>
          <w:lang w:val="en-GB" w:bidi="he-IL"/>
        </w:rPr>
        <w:t>to</w:t>
      </w:r>
      <w:r w:rsidR="0035522B">
        <w:rPr>
          <w:lang w:val="en-GB" w:bidi="he-IL"/>
        </w:rPr>
        <w:t xml:space="preserve"> fram</w:t>
      </w:r>
      <w:r w:rsidR="003633AE">
        <w:rPr>
          <w:lang w:val="en-GB" w:bidi="he-IL"/>
        </w:rPr>
        <w:t>e</w:t>
      </w:r>
      <w:r w:rsidR="0035522B">
        <w:rPr>
          <w:lang w:val="en-GB" w:bidi="he-IL"/>
        </w:rPr>
        <w:t xml:space="preserve"> a situation</w:t>
      </w:r>
      <w:r>
        <w:rPr>
          <w:lang w:val="en-GB" w:bidi="he-IL"/>
        </w:rPr>
        <w:t xml:space="preserve"> </w:t>
      </w:r>
      <w:r w:rsidR="005E213D">
        <w:rPr>
          <w:lang w:val="en-GB" w:bidi="he-IL"/>
        </w:rPr>
        <w:t>occurs when</w:t>
      </w:r>
      <w:r w:rsidR="00C27795">
        <w:t xml:space="preserve"> Jeremiah </w:t>
      </w:r>
      <w:r w:rsidR="0002269D">
        <w:t>asserts</w:t>
      </w:r>
      <w:r w:rsidR="003A1E28">
        <w:t xml:space="preserve"> that</w:t>
      </w:r>
      <w:r w:rsidR="00724ADF">
        <w:t xml:space="preserve"> the future legacy</w:t>
      </w:r>
      <w:r w:rsidR="00EB5B7E">
        <w:t xml:space="preserve"> of </w:t>
      </w:r>
      <w:r w:rsidR="003A1E28">
        <w:t>his exiled</w:t>
      </w:r>
      <w:r w:rsidR="00EB5B7E">
        <w:t xml:space="preserve"> king</w:t>
      </w:r>
      <w:r w:rsidR="003A1E28">
        <w:t xml:space="preserve"> is a fractured one</w:t>
      </w:r>
      <w:r w:rsidR="00C27795">
        <w:t xml:space="preserve">: </w:t>
      </w:r>
    </w:p>
    <w:p w14:paraId="671C0BD8" w14:textId="0479764D" w:rsidR="001F1F0F" w:rsidRPr="001F1F0F" w:rsidRDefault="001F1F0F" w:rsidP="001F1F0F">
      <w:pPr>
        <w:pStyle w:val="Standard1218justified"/>
        <w:spacing w:before="120"/>
        <w:ind w:firstLine="0"/>
        <w:jc w:val="center"/>
        <w:rPr>
          <w:rtl/>
          <w:lang w:bidi="he-IL"/>
        </w:rPr>
      </w:pPr>
      <w:r w:rsidRPr="001F1F0F">
        <w:rPr>
          <w:rFonts w:hAnsi="SBL BibLit" w:cs="SBL BibLit" w:hint="cs"/>
          <w:sz w:val="28"/>
          <w:szCs w:val="28"/>
          <w:rtl/>
          <w:lang w:bidi="he-IL"/>
        </w:rPr>
        <w:t>הַעֶצֶב נִבְזֶה נָפוּץ הָ</w:t>
      </w:r>
      <w:r w:rsidRPr="001F1F0F">
        <w:rPr>
          <w:rFonts w:hAnsi="SBL BibLit" w:cs="SBL BibLit" w:hint="cs"/>
          <w:sz w:val="28"/>
          <w:szCs w:val="28"/>
          <w:highlight w:val="lightGray"/>
          <w:rtl/>
          <w:lang w:bidi="he-IL"/>
        </w:rPr>
        <w:t>אִישׁ</w:t>
      </w:r>
      <w:r w:rsidRPr="001F1F0F">
        <w:rPr>
          <w:rFonts w:hAnsi="SBL BibLit" w:cs="SBL BibLit" w:hint="cs"/>
          <w:sz w:val="28"/>
          <w:szCs w:val="28"/>
          <w:rtl/>
          <w:lang w:bidi="he-IL"/>
        </w:rPr>
        <w:t xml:space="preserve"> הַזֶּה כָּנְיָהוּ</w:t>
      </w:r>
    </w:p>
    <w:p w14:paraId="61ECE4ED" w14:textId="64AFA502" w:rsidR="00C27795" w:rsidRPr="009175A6" w:rsidRDefault="00C27795" w:rsidP="001F1F0F">
      <w:pPr>
        <w:tabs>
          <w:tab w:val="center" w:pos="2970"/>
        </w:tabs>
        <w:spacing w:after="120"/>
        <w:jc w:val="center"/>
        <w:rPr>
          <w:lang w:val="en-GB"/>
        </w:rPr>
      </w:pPr>
      <w:r w:rsidRPr="008A5BFD">
        <w:rPr>
          <w:sz w:val="22"/>
          <w:szCs w:val="20"/>
          <w:lang w:val="en-GB"/>
        </w:rPr>
        <w:t xml:space="preserve">Is this </w:t>
      </w:r>
      <w:r w:rsidRPr="00FA2839">
        <w:rPr>
          <w:sz w:val="22"/>
          <w:szCs w:val="20"/>
          <w:u w:val="single"/>
          <w:lang w:val="en-GB"/>
        </w:rPr>
        <w:t>man</w:t>
      </w:r>
      <w:r w:rsidRPr="008A5BFD">
        <w:rPr>
          <w:sz w:val="22"/>
          <w:szCs w:val="20"/>
          <w:lang w:val="en-GB"/>
        </w:rPr>
        <w:t xml:space="preserve"> </w:t>
      </w:r>
      <w:proofErr w:type="spellStart"/>
      <w:r w:rsidRPr="008A5BFD">
        <w:rPr>
          <w:sz w:val="22"/>
          <w:szCs w:val="20"/>
          <w:lang w:val="en-GB"/>
        </w:rPr>
        <w:t>Coniah</w:t>
      </w:r>
      <w:proofErr w:type="spellEnd"/>
      <w:r w:rsidR="00FA2839">
        <w:rPr>
          <w:sz w:val="22"/>
          <w:szCs w:val="20"/>
          <w:lang w:val="en-GB"/>
        </w:rPr>
        <w:t xml:space="preserve"> / </w:t>
      </w:r>
      <w:r w:rsidRPr="008A5BFD">
        <w:rPr>
          <w:sz w:val="22"/>
          <w:szCs w:val="20"/>
          <w:lang w:val="en-GB"/>
        </w:rPr>
        <w:t>A wretched, broken pot</w:t>
      </w:r>
      <w:r w:rsidR="00FA2839">
        <w:rPr>
          <w:sz w:val="22"/>
          <w:szCs w:val="20"/>
          <w:lang w:val="en-GB"/>
        </w:rPr>
        <w:t xml:space="preserve">…? </w:t>
      </w:r>
      <w:r w:rsidRPr="008A5BFD">
        <w:rPr>
          <w:sz w:val="22"/>
          <w:szCs w:val="20"/>
        </w:rPr>
        <w:t>(Jer. 22.28</w:t>
      </w:r>
      <w:r w:rsidR="00A42DD4">
        <w:rPr>
          <w:sz w:val="22"/>
          <w:szCs w:val="20"/>
        </w:rPr>
        <w:t>, NJPS/RJPS</w:t>
      </w:r>
      <w:r w:rsidRPr="008A5BFD">
        <w:rPr>
          <w:sz w:val="22"/>
          <w:szCs w:val="20"/>
        </w:rPr>
        <w:t>)</w:t>
      </w:r>
      <w:r>
        <w:rPr>
          <w:rStyle w:val="FootnoteReference"/>
        </w:rPr>
        <w:footnoteReference w:id="25"/>
      </w:r>
    </w:p>
    <w:p w14:paraId="660C5F33" w14:textId="77C2648F" w:rsidR="00781B61" w:rsidRDefault="0035522B" w:rsidP="0035522B">
      <w:pPr>
        <w:pStyle w:val="StandardFL"/>
        <w:rPr>
          <w:lang w:val="en-GB"/>
        </w:rPr>
      </w:pPr>
      <w:r>
        <w:t xml:space="preserve">Why does </w:t>
      </w:r>
      <w:r w:rsidR="00F0287B">
        <w:t>the prophet</w:t>
      </w:r>
      <w:r>
        <w:t xml:space="preserve"> </w:t>
      </w:r>
      <w:r w:rsidR="00F0287B">
        <w:t xml:space="preserve">add the label </w:t>
      </w:r>
      <w:r w:rsidR="00F0287B" w:rsidRPr="00F17D62">
        <w:rPr>
          <w:rFonts w:hAnsi="SBL BibLit" w:cs="SBL BibLit" w:hint="cs"/>
          <w:rtl/>
          <w:lang w:bidi="he-IL"/>
        </w:rPr>
        <w:t>אִישׁ</w:t>
      </w:r>
      <w:r w:rsidR="009161C9">
        <w:t>? After all,</w:t>
      </w:r>
      <w:r w:rsidR="00F0287B">
        <w:t xml:space="preserve"> he</w:t>
      </w:r>
      <w:r w:rsidR="00C27795">
        <w:t xml:space="preserve"> </w:t>
      </w:r>
      <w:r>
        <w:t>could</w:t>
      </w:r>
      <w:r w:rsidR="00C27795">
        <w:t xml:space="preserve"> </w:t>
      </w:r>
      <w:r w:rsidR="00724ADF">
        <w:t>identify</w:t>
      </w:r>
      <w:r w:rsidR="00C27795">
        <w:t xml:space="preserve"> his target by the name </w:t>
      </w:r>
      <w:proofErr w:type="spellStart"/>
      <w:r w:rsidR="00C27795">
        <w:t>Coniah</w:t>
      </w:r>
      <w:proofErr w:type="spellEnd"/>
      <w:r w:rsidR="00C27795">
        <w:t xml:space="preserve"> alone</w:t>
      </w:r>
      <w:r w:rsidR="00F0287B">
        <w:t xml:space="preserve">, and </w:t>
      </w:r>
      <w:r w:rsidR="00C27795">
        <w:t xml:space="preserve">his audience already knows </w:t>
      </w:r>
      <w:r w:rsidR="00CF659B">
        <w:t>that their</w:t>
      </w:r>
      <w:r w:rsidR="00C27795">
        <w:t xml:space="preserve"> king</w:t>
      </w:r>
      <w:r w:rsidR="00CF659B">
        <w:t xml:space="preserve"> i</w:t>
      </w:r>
      <w:r w:rsidR="00C27795">
        <w:t xml:space="preserve">s an adult </w:t>
      </w:r>
      <w:r w:rsidR="00CF659B">
        <w:t>male</w:t>
      </w:r>
      <w:r w:rsidR="009161C9">
        <w:t>.</w:t>
      </w:r>
      <w:r w:rsidR="00C27795">
        <w:t xml:space="preserve"> The best explanation is that </w:t>
      </w:r>
      <w:r w:rsidR="009161C9">
        <w:t>Jeremiah</w:t>
      </w:r>
      <w:r w:rsidR="00C27795">
        <w:t xml:space="preserve"> is focusing attention on </w:t>
      </w:r>
      <w:r w:rsidR="005F5431">
        <w:t>a</w:t>
      </w:r>
      <w:r w:rsidR="005E213D">
        <w:t xml:space="preserve"> </w:t>
      </w:r>
      <w:r w:rsidR="00C27795" w:rsidRPr="00914A72">
        <w:t>situation</w:t>
      </w:r>
      <w:r w:rsidR="005E213D">
        <w:t xml:space="preserve"> that </w:t>
      </w:r>
      <w:r w:rsidR="005F5431">
        <w:t>concerns him</w:t>
      </w:r>
      <w:r w:rsidR="00E52657">
        <w:t>. H</w:t>
      </w:r>
      <w:r w:rsidR="005F4D8C">
        <w:t xml:space="preserve">e wishes to </w:t>
      </w:r>
      <w:r w:rsidR="005F5431">
        <w:t>comment upon it</w:t>
      </w:r>
      <w:r w:rsidR="002E65FB">
        <w:t>,</w:t>
      </w:r>
      <w:r w:rsidR="005F5431">
        <w:t xml:space="preserve"> so</w:t>
      </w:r>
      <w:r w:rsidR="00E52657">
        <w:t xml:space="preserve"> he</w:t>
      </w:r>
      <w:r w:rsidR="00C27795">
        <w:t xml:space="preserve"> </w:t>
      </w:r>
      <w:r w:rsidR="005F5431">
        <w:t>evokes</w:t>
      </w:r>
      <w:r w:rsidR="006A1CC9">
        <w:t xml:space="preserve"> it</w:t>
      </w:r>
      <w:r w:rsidR="00C27795">
        <w:t xml:space="preserve"> </w:t>
      </w:r>
      <w:r w:rsidR="005F5431">
        <w:t>by</w:t>
      </w:r>
      <w:r w:rsidR="00CF659B">
        <w:t xml:space="preserve"> </w:t>
      </w:r>
      <w:r w:rsidR="00C27795">
        <w:t>label</w:t>
      </w:r>
      <w:r w:rsidR="005F5431">
        <w:t>ing</w:t>
      </w:r>
      <w:r w:rsidR="00C27795">
        <w:t xml:space="preserve"> its key participant </w:t>
      </w:r>
      <w:r w:rsidR="00C27795" w:rsidRPr="002F5884">
        <w:rPr>
          <w:i/>
          <w:iCs/>
        </w:rPr>
        <w:t xml:space="preserve">in terms of </w:t>
      </w:r>
      <w:r w:rsidR="00C27795">
        <w:rPr>
          <w:i/>
          <w:iCs/>
        </w:rPr>
        <w:t>the</w:t>
      </w:r>
      <w:r w:rsidR="00C27795" w:rsidRPr="002F5884">
        <w:rPr>
          <w:i/>
          <w:iCs/>
        </w:rPr>
        <w:t xml:space="preserve"> </w:t>
      </w:r>
      <w:r w:rsidR="00C064B4">
        <w:rPr>
          <w:i/>
          <w:iCs/>
        </w:rPr>
        <w:t xml:space="preserve">depicted </w:t>
      </w:r>
      <w:r w:rsidR="00C27795" w:rsidRPr="002F5884">
        <w:rPr>
          <w:i/>
          <w:iCs/>
        </w:rPr>
        <w:t>situation</w:t>
      </w:r>
      <w:r w:rsidR="00C27795">
        <w:t>.</w:t>
      </w:r>
    </w:p>
    <w:p w14:paraId="798C551F" w14:textId="3216B748" w:rsidR="0085243B" w:rsidRDefault="00741422" w:rsidP="00897FA7">
      <w:pPr>
        <w:pStyle w:val="Standard1218justified"/>
        <w:rPr>
          <w:lang w:bidi="he-IL"/>
        </w:rPr>
      </w:pPr>
      <w:r>
        <w:rPr>
          <w:lang w:val="en-GB" w:bidi="he-IL"/>
        </w:rPr>
        <w:t xml:space="preserve">In </w:t>
      </w:r>
      <w:proofErr w:type="gramStart"/>
      <w:r>
        <w:rPr>
          <w:lang w:val="en-GB" w:bidi="he-IL"/>
        </w:rPr>
        <w:t>general</w:t>
      </w:r>
      <w:proofErr w:type="gramEnd"/>
      <w:r w:rsidR="00C064B4">
        <w:rPr>
          <w:lang w:val="en-GB" w:bidi="he-IL"/>
        </w:rPr>
        <w:t xml:space="preserve"> </w:t>
      </w:r>
      <w:r w:rsidR="00C064B4">
        <w:rPr>
          <w:rFonts w:hAnsi="SBL BibLit" w:cs="SBL BibLit"/>
          <w:lang w:bidi="he-IL"/>
        </w:rPr>
        <w:t>for biblical texts</w:t>
      </w:r>
      <w:r>
        <w:rPr>
          <w:lang w:val="en-GB" w:bidi="he-IL"/>
        </w:rPr>
        <w:t>, viewing</w:t>
      </w:r>
      <w:r>
        <w:rPr>
          <w:lang w:val="en-GB"/>
        </w:rPr>
        <w:t xml:space="preserve"> </w:t>
      </w:r>
      <w:proofErr w:type="spellStart"/>
      <w:r w:rsidR="00F00BBB" w:rsidRPr="00DF7DAF">
        <w:rPr>
          <w:rFonts w:ascii="SBL BibLit" w:hAnsi="SBL BibLit" w:cs="SBL BibLit"/>
          <w:rtl/>
          <w:lang w:val="en-GB"/>
        </w:rPr>
        <w:t>אִיש</w:t>
      </w:r>
      <w:proofErr w:type="spellEnd"/>
      <w:r w:rsidR="00F00BBB" w:rsidRPr="00DF7DAF">
        <w:rPr>
          <w:rFonts w:ascii="SBL BibLit" w:hAnsi="SBL BibLit" w:cs="SBL BibLit"/>
          <w:rtl/>
          <w:lang w:val="en-GB"/>
        </w:rPr>
        <w:t>ׁ</w:t>
      </w:r>
      <w:r w:rsidR="00F00BBB" w:rsidRPr="00376102">
        <w:rPr>
          <w:lang w:val="en-GB"/>
        </w:rPr>
        <w:t xml:space="preserve"> </w:t>
      </w:r>
      <w:r w:rsidR="009D1828" w:rsidRPr="00376102">
        <w:rPr>
          <w:lang w:val="en-GB"/>
        </w:rPr>
        <w:t>a</w:t>
      </w:r>
      <w:r w:rsidR="00F00BBB" w:rsidRPr="00376102">
        <w:rPr>
          <w:lang w:val="en-GB"/>
        </w:rPr>
        <w:t>s a situating noun</w:t>
      </w:r>
      <w:r w:rsidR="00434961">
        <w:rPr>
          <w:lang w:val="en-GB"/>
        </w:rPr>
        <w:t xml:space="preserve"> can</w:t>
      </w:r>
      <w:r w:rsidR="00F00BBB" w:rsidRPr="00376102">
        <w:rPr>
          <w:lang w:val="en-GB"/>
        </w:rPr>
        <w:t xml:space="preserve"> </w:t>
      </w:r>
      <w:r>
        <w:rPr>
          <w:lang w:val="en-GB"/>
        </w:rPr>
        <w:t>consistently</w:t>
      </w:r>
      <w:r w:rsidR="00E32335">
        <w:rPr>
          <w:lang w:val="en-GB"/>
        </w:rPr>
        <w:t xml:space="preserve"> explain</w:t>
      </w:r>
      <w:r w:rsidR="00F00BBB">
        <w:rPr>
          <w:lang w:val="en-GB"/>
        </w:rPr>
        <w:t xml:space="preserve"> not only its distinctive linguistic </w:t>
      </w:r>
      <w:proofErr w:type="spellStart"/>
      <w:r w:rsidR="00F00BBB">
        <w:rPr>
          <w:lang w:val="en-GB"/>
        </w:rPr>
        <w:t>behaviors</w:t>
      </w:r>
      <w:proofErr w:type="spellEnd"/>
      <w:r w:rsidR="00F00BBB">
        <w:rPr>
          <w:lang w:val="en-GB"/>
        </w:rPr>
        <w:t xml:space="preserve"> but also its very presence</w:t>
      </w:r>
      <w:r w:rsidR="00776B89">
        <w:rPr>
          <w:rStyle w:val="FootnoteReference"/>
          <w:lang w:bidi="he-IL"/>
        </w:rPr>
        <w:footnoteReference w:id="26"/>
      </w:r>
      <w:r w:rsidR="00F00BBB">
        <w:rPr>
          <w:lang w:val="en-GB"/>
        </w:rPr>
        <w:t xml:space="preserve"> and</w:t>
      </w:r>
      <w:r w:rsidR="00776B89">
        <w:rPr>
          <w:lang w:val="en-GB"/>
        </w:rPr>
        <w:t xml:space="preserve"> its</w:t>
      </w:r>
      <w:r w:rsidR="00F00BBB">
        <w:rPr>
          <w:lang w:val="en-GB"/>
        </w:rPr>
        <w:t xml:space="preserve"> absence.</w:t>
      </w:r>
      <w:r w:rsidR="00776B89">
        <w:rPr>
          <w:rStyle w:val="FootnoteReference"/>
        </w:rPr>
        <w:footnoteReference w:id="27"/>
      </w:r>
      <w:r w:rsidR="00F00BBB" w:rsidRPr="00C03A20">
        <w:rPr>
          <w:lang w:bidi="he-IL"/>
        </w:rPr>
        <w:t xml:space="preserve"> </w:t>
      </w:r>
    </w:p>
    <w:p w14:paraId="5385E906" w14:textId="74B868C3" w:rsidR="0085243B" w:rsidRDefault="0085243B" w:rsidP="00EA580C">
      <w:pPr>
        <w:pStyle w:val="Standard1218justified"/>
      </w:pPr>
      <w:r w:rsidRPr="00FD78BE">
        <w:rPr>
          <w:bCs/>
        </w:rPr>
        <w:t xml:space="preserve">As a situating noun, </w:t>
      </w:r>
      <w:r w:rsidRPr="00FD78BE">
        <w:rPr>
          <w:rFonts w:hAnsi="SBL BibLit" w:cs="SBL BibLit"/>
          <w:rtl/>
          <w:lang w:bidi="he-IL"/>
        </w:rPr>
        <w:t>אִישׁ</w:t>
      </w:r>
      <w:r>
        <w:rPr>
          <w:b/>
        </w:rPr>
        <w:t xml:space="preserve"> </w:t>
      </w:r>
      <w:r w:rsidR="00AD7CB9" w:rsidRPr="00802577">
        <w:t xml:space="preserve">is employed to efficiently manage the </w:t>
      </w:r>
      <w:r w:rsidR="00AD7CB9">
        <w:t>audience</w:t>
      </w:r>
      <w:r w:rsidR="00AD7CB9" w:rsidRPr="00B45606">
        <w:t>’s m</w:t>
      </w:r>
      <w:r w:rsidR="00AD7CB9">
        <w:t>ental picture of the depicted situation</w:t>
      </w:r>
      <w:r w:rsidR="00AD7CB9" w:rsidRPr="00802577">
        <w:t>.</w:t>
      </w:r>
      <w:r w:rsidR="00AD7CB9">
        <w:t xml:space="preserve"> </w:t>
      </w:r>
      <w:r w:rsidR="008324FA">
        <w:t xml:space="preserve">It </w:t>
      </w:r>
      <w:r w:rsidRPr="00802577">
        <w:t xml:space="preserve">is the preferred label </w:t>
      </w:r>
      <w:r w:rsidR="00FE727A">
        <w:t xml:space="preserve">not only </w:t>
      </w:r>
      <w:r w:rsidRPr="00802577">
        <w:t>when the speaker or writer wishes to</w:t>
      </w:r>
      <w:r w:rsidR="00776B89">
        <w:t xml:space="preserve"> quickly</w:t>
      </w:r>
      <w:r w:rsidRPr="00802577">
        <w:t xml:space="preserve"> frame a situation </w:t>
      </w:r>
      <w:r w:rsidR="00776B89">
        <w:t>(as noted above)</w:t>
      </w:r>
      <w:r w:rsidRPr="00802577">
        <w:t xml:space="preserve">, </w:t>
      </w:r>
      <w:r w:rsidR="00FE727A">
        <w:t>but also</w:t>
      </w:r>
      <w:r w:rsidR="00FE727A" w:rsidRPr="00802577">
        <w:t xml:space="preserve"> </w:t>
      </w:r>
      <w:r w:rsidRPr="00802577">
        <w:t>to resituate a given participant of interest</w:t>
      </w:r>
      <w:r w:rsidR="007D60EA">
        <w:t xml:space="preserve"> in relation to their previous state</w:t>
      </w:r>
      <w:r w:rsidRPr="00802577">
        <w:t xml:space="preserve"> (e.g., </w:t>
      </w:r>
      <w:r w:rsidR="007D60EA" w:rsidRPr="00802577">
        <w:t>Gen. 20</w:t>
      </w:r>
      <w:r w:rsidR="007D60EA">
        <w:t>.</w:t>
      </w:r>
      <w:r w:rsidR="007D60EA" w:rsidRPr="00802577">
        <w:t xml:space="preserve">8; </w:t>
      </w:r>
      <w:r w:rsidRPr="00802577">
        <w:t>30</w:t>
      </w:r>
      <w:r>
        <w:t>.</w:t>
      </w:r>
      <w:r w:rsidRPr="00802577">
        <w:t>43)</w:t>
      </w:r>
      <w:r w:rsidR="007D60EA">
        <w:t>, or to</w:t>
      </w:r>
      <w:r w:rsidRPr="00802577">
        <w:t xml:space="preserve"> </w:t>
      </w:r>
      <w:r w:rsidR="00EA580C">
        <w:t>treat that</w:t>
      </w:r>
      <w:r w:rsidR="007D60EA">
        <w:t xml:space="preserve"> known</w:t>
      </w:r>
      <w:r w:rsidR="00EA580C">
        <w:t xml:space="preserve"> participant </w:t>
      </w:r>
      <w:r w:rsidRPr="00802577">
        <w:t>as a point of reference (e.g., Gen. 24</w:t>
      </w:r>
      <w:r>
        <w:t>.</w:t>
      </w:r>
      <w:r w:rsidRPr="00802577">
        <w:t>61; Exod. 2</w:t>
      </w:r>
      <w:r>
        <w:t>.</w:t>
      </w:r>
      <w:r w:rsidRPr="00802577">
        <w:t>21)</w:t>
      </w:r>
      <w:r w:rsidR="007D60EA">
        <w:t xml:space="preserve">, </w:t>
      </w:r>
      <w:r w:rsidRPr="00802577">
        <w:t xml:space="preserve">or to </w:t>
      </w:r>
      <w:r w:rsidR="007F2B2C">
        <w:t>mark</w:t>
      </w:r>
      <w:r w:rsidRPr="00802577">
        <w:t xml:space="preserve"> </w:t>
      </w:r>
      <w:r w:rsidR="007D60EA">
        <w:t>a certain quality as essential</w:t>
      </w:r>
      <w:r w:rsidRPr="00802577">
        <w:t xml:space="preserve"> (e.g., Gen. 6</w:t>
      </w:r>
      <w:r>
        <w:t>.</w:t>
      </w:r>
      <w:r w:rsidRPr="00802577">
        <w:t xml:space="preserve">4, 9). This </w:t>
      </w:r>
      <w:r w:rsidR="00DE63CD">
        <w:t>communicati</w:t>
      </w:r>
      <w:r w:rsidR="00EA580C">
        <w:t>on-management role</w:t>
      </w:r>
      <w:r w:rsidRPr="00802577">
        <w:t xml:space="preserve"> is</w:t>
      </w:r>
      <w:r w:rsidR="007D60EA">
        <w:t xml:space="preserve"> actually</w:t>
      </w:r>
      <w:r w:rsidRPr="00802577">
        <w:t xml:space="preserve"> </w:t>
      </w:r>
      <w:r w:rsidR="00EA580C">
        <w:t>the</w:t>
      </w:r>
      <w:r w:rsidRPr="00802577">
        <w:t xml:space="preserve"> </w:t>
      </w:r>
      <w:r w:rsidR="00EA580C">
        <w:t xml:space="preserve">prototypical </w:t>
      </w:r>
      <w:r w:rsidRPr="00802577">
        <w:t>meaning</w:t>
      </w:r>
      <w:r w:rsidR="00EA580C">
        <w:t xml:space="preserve"> of </w:t>
      </w:r>
      <w:r w:rsidR="00EA580C" w:rsidRPr="00FD78BE">
        <w:rPr>
          <w:rFonts w:hAnsi="SBL BibLit" w:cs="SBL BibLit"/>
          <w:rtl/>
          <w:lang w:bidi="he-IL"/>
        </w:rPr>
        <w:t>אִישׁ</w:t>
      </w:r>
      <w:r w:rsidRPr="00802577">
        <w:t>—far more than its informational content, which</w:t>
      </w:r>
      <w:r w:rsidR="00EA580C">
        <w:t xml:space="preserve"> in Biblical Hebrew</w:t>
      </w:r>
      <w:r w:rsidRPr="00802577">
        <w:t xml:space="preserve"> is </w:t>
      </w:r>
      <w:r w:rsidR="00EA580C">
        <w:t>usually</w:t>
      </w:r>
      <w:r w:rsidRPr="00802577">
        <w:t xml:space="preserve"> incidental.</w:t>
      </w:r>
      <w:r w:rsidR="00DE63CD">
        <w:rPr>
          <w:rStyle w:val="FootnoteReference"/>
        </w:rPr>
        <w:footnoteReference w:id="28"/>
      </w:r>
    </w:p>
    <w:p w14:paraId="4C40E4C1" w14:textId="62D6D28D" w:rsidR="00776B89" w:rsidRPr="00C03A20" w:rsidRDefault="00776B89" w:rsidP="00EA580C">
      <w:pPr>
        <w:pStyle w:val="Standard1218justified"/>
        <w:rPr>
          <w:lang w:bidi="he-IL"/>
        </w:rPr>
      </w:pPr>
      <w:r>
        <w:t>To the present translator</w:t>
      </w:r>
      <w:r w:rsidR="00635FBA">
        <w:t>—</w:t>
      </w:r>
      <w:r w:rsidR="00AA109A">
        <w:t xml:space="preserve">the team member who was responsible for the treatment of </w:t>
      </w:r>
      <w:proofErr w:type="spellStart"/>
      <w:r w:rsidR="00AA109A" w:rsidRPr="00635FBA">
        <w:rPr>
          <w:rFonts w:hAnsi="SBL BibLit" w:cs="SBL BibLit"/>
          <w:sz w:val="32"/>
          <w:rtl/>
        </w:rPr>
        <w:t>אִיש</w:t>
      </w:r>
      <w:proofErr w:type="spellEnd"/>
      <w:r w:rsidR="00AA109A" w:rsidRPr="00635FBA">
        <w:rPr>
          <w:rFonts w:hAnsi="SBL BibLit" w:cs="SBL BibLit"/>
          <w:sz w:val="32"/>
          <w:rtl/>
        </w:rPr>
        <w:t>ׁ</w:t>
      </w:r>
      <w:r w:rsidR="00635FBA">
        <w:t>—</w:t>
      </w:r>
      <w:r>
        <w:t xml:space="preserve">viewing </w:t>
      </w:r>
      <w:r w:rsidR="00AA109A" w:rsidRPr="00635FBA">
        <w:t>it</w:t>
      </w:r>
      <w:r w:rsidR="00AA109A">
        <w:rPr>
          <w:sz w:val="28"/>
        </w:rPr>
        <w:t xml:space="preserve"> </w:t>
      </w:r>
      <w:r>
        <w:t>as a situating noun is superior to the conventional view:</w:t>
      </w:r>
      <w:r>
        <w:rPr>
          <w:rStyle w:val="FootnoteReference"/>
        </w:rPr>
        <w:footnoteReference w:id="29"/>
      </w:r>
      <w:r>
        <w:t xml:space="preserve"> it yields a coherent and informative biblical text more often, and more readily, while resolving longstanding interpretive cruxes. On that basis, a situation-oriented construal of</w:t>
      </w:r>
      <w:r w:rsidRPr="00C03A20">
        <w:t xml:space="preserve"> </w:t>
      </w:r>
      <w:proofErr w:type="spellStart"/>
      <w:r w:rsidRPr="00635FBA">
        <w:rPr>
          <w:rFonts w:hAnsi="SBL BibLit" w:cs="SBL BibLit"/>
          <w:rtl/>
        </w:rPr>
        <w:t>אִיש</w:t>
      </w:r>
      <w:proofErr w:type="spellEnd"/>
      <w:r w:rsidRPr="00635FBA">
        <w:rPr>
          <w:rFonts w:hAnsi="SBL BibLit" w:cs="SBL BibLit"/>
          <w:rtl/>
        </w:rPr>
        <w:t>ׁ</w:t>
      </w:r>
      <w:r w:rsidRPr="00635FBA">
        <w:t xml:space="preserve"> </w:t>
      </w:r>
      <w:r w:rsidR="00635FBA" w:rsidRPr="00635FBA">
        <w:t>was adopted</w:t>
      </w:r>
      <w:r w:rsidR="00635FBA">
        <w:t xml:space="preserve"> for</w:t>
      </w:r>
      <w:r>
        <w:t xml:space="preserve"> the preparation of this edition</w:t>
      </w:r>
      <w:r w:rsidRPr="00C03A20">
        <w:t>.</w:t>
      </w:r>
    </w:p>
    <w:p w14:paraId="1299A90A" w14:textId="3708BEBF" w:rsidR="00D53EEE" w:rsidRDefault="00F00BBB" w:rsidP="00D75E63">
      <w:pPr>
        <w:pStyle w:val="Standard1218justified"/>
        <w:rPr>
          <w:lang w:val="en-GB"/>
        </w:rPr>
      </w:pPr>
      <w:r>
        <w:rPr>
          <w:lang w:val="en-GB"/>
        </w:rPr>
        <w:t xml:space="preserve">How, then, does this edition render </w:t>
      </w:r>
      <w:r w:rsidRPr="00671343">
        <w:rPr>
          <w:rFonts w:hAnsi="SBL BibLit" w:cs="SBL BibLit"/>
          <w:rtl/>
          <w:lang w:bidi="he-IL"/>
        </w:rPr>
        <w:t>אִישׁ</w:t>
      </w:r>
      <w:r>
        <w:rPr>
          <w:lang w:val="en-GB"/>
        </w:rPr>
        <w:t xml:space="preserve"> into English? </w:t>
      </w:r>
      <w:r w:rsidR="00BE304B">
        <w:rPr>
          <w:lang w:val="en-GB"/>
        </w:rPr>
        <w:t>In m</w:t>
      </w:r>
      <w:r w:rsidR="00DF663D">
        <w:rPr>
          <w:lang w:val="en-GB"/>
        </w:rPr>
        <w:t xml:space="preserve">ost </w:t>
      </w:r>
      <w:r w:rsidR="00BE304B">
        <w:rPr>
          <w:lang w:val="en-GB"/>
        </w:rPr>
        <w:t>cases</w:t>
      </w:r>
      <w:r w:rsidR="00DF663D">
        <w:rPr>
          <w:lang w:val="en-GB"/>
        </w:rPr>
        <w:t>, the same</w:t>
      </w:r>
      <w:r w:rsidR="00BE304B">
        <w:rPr>
          <w:lang w:val="en-GB"/>
        </w:rPr>
        <w:t xml:space="preserve"> way</w:t>
      </w:r>
      <w:r w:rsidR="00DF663D">
        <w:rPr>
          <w:lang w:val="en-GB"/>
        </w:rPr>
        <w:t xml:space="preserve"> as NJPS</w:t>
      </w:r>
      <w:r w:rsidR="006A7AE4">
        <w:rPr>
          <w:lang w:val="en-GB"/>
        </w:rPr>
        <w:t xml:space="preserve"> did</w:t>
      </w:r>
      <w:r w:rsidR="00DF663D">
        <w:rPr>
          <w:lang w:val="en-GB"/>
        </w:rPr>
        <w:t xml:space="preserve">. </w:t>
      </w:r>
      <w:r w:rsidR="00F57234">
        <w:t xml:space="preserve">Where women are not in view, the label most often employed is </w:t>
      </w:r>
      <w:r w:rsidR="000E2D74">
        <w:t>“</w:t>
      </w:r>
      <w:r w:rsidR="00F57234">
        <w:t>man</w:t>
      </w:r>
      <w:r w:rsidR="000E2D74">
        <w:t>,”</w:t>
      </w:r>
      <w:r w:rsidR="00F57234">
        <w:t xml:space="preserve"> which still retains its situating force in many contexts.</w:t>
      </w:r>
      <w:r w:rsidR="00A02582">
        <w:rPr>
          <w:rStyle w:val="FootnoteReference"/>
        </w:rPr>
        <w:footnoteReference w:id="30"/>
      </w:r>
      <w:r w:rsidR="00F57234">
        <w:t xml:space="preserve"> </w:t>
      </w:r>
      <w:r w:rsidR="00916587">
        <w:rPr>
          <w:lang w:val="en-GB"/>
        </w:rPr>
        <w:t>However, in some cases, a situation-oriented construal suggests a different focus.</w:t>
      </w:r>
      <w:r w:rsidR="00C03C42">
        <w:rPr>
          <w:lang w:val="en-GB"/>
        </w:rPr>
        <w:t xml:space="preserve"> </w:t>
      </w:r>
      <w:r w:rsidR="0037715D">
        <w:rPr>
          <w:lang w:val="en-GB"/>
        </w:rPr>
        <w:t xml:space="preserve">For example, in Exod. 5.9, Pharaoh is dissatisfied with the situation and </w:t>
      </w:r>
      <w:r w:rsidR="00E67785">
        <w:rPr>
          <w:lang w:val="en-GB"/>
        </w:rPr>
        <w:t xml:space="preserve">(using the plural for </w:t>
      </w:r>
      <w:r w:rsidR="00E67785" w:rsidRPr="00671343">
        <w:rPr>
          <w:rFonts w:hAnsi="SBL BibLit" w:cs="SBL BibLit"/>
          <w:rtl/>
          <w:lang w:bidi="he-IL"/>
        </w:rPr>
        <w:t>אִישׁ</w:t>
      </w:r>
      <w:r w:rsidR="00E67785">
        <w:rPr>
          <w:lang w:val="en-GB"/>
        </w:rPr>
        <w:t>)</w:t>
      </w:r>
      <w:r w:rsidR="00EB5B7E" w:rsidRPr="00EB5B7E">
        <w:rPr>
          <w:lang w:val="en-GB"/>
        </w:rPr>
        <w:t xml:space="preserve"> </w:t>
      </w:r>
      <w:r w:rsidR="00EB5B7E">
        <w:rPr>
          <w:lang w:val="en-GB"/>
        </w:rPr>
        <w:t>decrees</w:t>
      </w:r>
      <w:r w:rsidR="0037715D">
        <w:rPr>
          <w:lang w:val="en-GB"/>
        </w:rPr>
        <w:t xml:space="preserve">, “Let heavier work be laid upon </w:t>
      </w:r>
      <w:r w:rsidR="00D75E63" w:rsidRPr="00D75E63">
        <w:rPr>
          <w:rFonts w:hAnsi="SBL BibLit" w:cs="SBL BibLit" w:hint="cs"/>
          <w:rtl/>
          <w:lang w:val="en-GB" w:bidi="he-IL"/>
        </w:rPr>
        <w:t>הָאֲנָשִׁים</w:t>
      </w:r>
      <w:r w:rsidR="00D75E63">
        <w:rPr>
          <w:rFonts w:hAnsi="SBL BibLit" w:cs="SBL BibLit"/>
          <w:lang w:val="en-GB" w:bidi="he-IL"/>
        </w:rPr>
        <w:t xml:space="preserve"> </w:t>
      </w:r>
      <w:r w:rsidR="00D75E63">
        <w:rPr>
          <w:rFonts w:hAnsi="SBL BibLit" w:cs="SBL BibLit"/>
          <w:i/>
          <w:iCs/>
          <w:lang w:val="en-GB" w:bidi="he-IL"/>
        </w:rPr>
        <w:t>ha-</w:t>
      </w:r>
      <w:r w:rsidR="0037715D">
        <w:rPr>
          <w:i/>
          <w:iCs/>
          <w:lang w:val="en-GB"/>
        </w:rPr>
        <w:t>’</w:t>
      </w:r>
      <w:proofErr w:type="spellStart"/>
      <w:r w:rsidR="0037715D">
        <w:rPr>
          <w:i/>
          <w:iCs/>
          <w:lang w:val="en-GB"/>
        </w:rPr>
        <w:t>anashim</w:t>
      </w:r>
      <w:proofErr w:type="spellEnd"/>
      <w:r w:rsidR="0037715D">
        <w:rPr>
          <w:lang w:val="en-GB"/>
        </w:rPr>
        <w:t xml:space="preserve">.” </w:t>
      </w:r>
      <w:r w:rsidR="00D53EEE">
        <w:rPr>
          <w:lang w:val="en-GB"/>
        </w:rPr>
        <w:t>O</w:t>
      </w:r>
      <w:r w:rsidR="0037715D">
        <w:rPr>
          <w:lang w:val="en-GB"/>
        </w:rPr>
        <w:t>thers render</w:t>
      </w:r>
      <w:r w:rsidR="006D5D01">
        <w:rPr>
          <w:lang w:val="en-GB"/>
        </w:rPr>
        <w:t xml:space="preserve"> </w:t>
      </w:r>
      <w:r w:rsidR="00D53EEE" w:rsidRPr="00D75E63">
        <w:rPr>
          <w:rFonts w:hAnsi="SBL BibLit" w:cs="SBL BibLit" w:hint="cs"/>
          <w:rtl/>
          <w:lang w:val="en-GB" w:bidi="he-IL"/>
        </w:rPr>
        <w:t>הָאֲנָשִׁים</w:t>
      </w:r>
      <w:r w:rsidR="00D53EEE">
        <w:rPr>
          <w:rFonts w:hAnsi="SBL BibLit" w:cs="SBL BibLit"/>
          <w:lang w:val="en-GB" w:bidi="he-IL"/>
        </w:rPr>
        <w:t xml:space="preserve"> </w:t>
      </w:r>
      <w:r w:rsidR="0037715D">
        <w:rPr>
          <w:lang w:val="en-GB"/>
        </w:rPr>
        <w:t xml:space="preserve">as </w:t>
      </w:r>
      <w:r w:rsidR="000E2D74">
        <w:rPr>
          <w:lang w:val="en-GB"/>
        </w:rPr>
        <w:t>“</w:t>
      </w:r>
      <w:r w:rsidR="0037715D">
        <w:rPr>
          <w:lang w:val="en-GB"/>
        </w:rPr>
        <w:t>the men</w:t>
      </w:r>
      <w:r w:rsidR="000E2D74">
        <w:rPr>
          <w:lang w:val="en-GB"/>
        </w:rPr>
        <w:t>”</w:t>
      </w:r>
      <w:r w:rsidR="0037715D">
        <w:rPr>
          <w:lang w:val="en-GB"/>
        </w:rPr>
        <w:t xml:space="preserve"> or </w:t>
      </w:r>
      <w:r w:rsidR="000E2D74">
        <w:rPr>
          <w:lang w:val="en-GB"/>
        </w:rPr>
        <w:t>“</w:t>
      </w:r>
      <w:r w:rsidR="0037715D">
        <w:rPr>
          <w:lang w:val="en-GB"/>
        </w:rPr>
        <w:t>the people</w:t>
      </w:r>
      <w:r w:rsidR="00D53EEE">
        <w:rPr>
          <w:lang w:val="en-GB"/>
        </w:rPr>
        <w:t>.</w:t>
      </w:r>
      <w:r w:rsidR="000E2D74">
        <w:rPr>
          <w:lang w:val="en-GB"/>
        </w:rPr>
        <w:t>”</w:t>
      </w:r>
      <w:r w:rsidR="00D53EEE">
        <w:rPr>
          <w:lang w:val="en-GB"/>
        </w:rPr>
        <w:t xml:space="preserve"> Yet the prototypical meaning of </w:t>
      </w:r>
      <w:r w:rsidR="00D53EEE" w:rsidRPr="00671343">
        <w:rPr>
          <w:rFonts w:hAnsi="SBL BibLit" w:cs="SBL BibLit"/>
          <w:rtl/>
          <w:lang w:bidi="he-IL"/>
        </w:rPr>
        <w:t>אִישׁ</w:t>
      </w:r>
      <w:r w:rsidR="00D53EEE">
        <w:rPr>
          <w:lang w:val="en-GB"/>
        </w:rPr>
        <w:t xml:space="preserve"> suggests that Pharaoh is regarding the referents situationally rather than according to their intrinsic qualities.</w:t>
      </w:r>
      <w:r w:rsidR="0037715D">
        <w:rPr>
          <w:lang w:val="en-GB"/>
        </w:rPr>
        <w:t xml:space="preserve"> </w:t>
      </w:r>
      <w:r w:rsidR="00D53EEE">
        <w:rPr>
          <w:lang w:val="en-GB"/>
        </w:rPr>
        <w:t xml:space="preserve">Hence </w:t>
      </w:r>
      <w:r w:rsidR="00EE6CFE">
        <w:rPr>
          <w:lang w:val="en-GB"/>
        </w:rPr>
        <w:t>the present</w:t>
      </w:r>
      <w:r w:rsidR="0037715D">
        <w:rPr>
          <w:lang w:val="en-GB"/>
        </w:rPr>
        <w:t xml:space="preserve"> translation reads </w:t>
      </w:r>
      <w:r w:rsidR="000E2D74">
        <w:rPr>
          <w:lang w:val="en-GB"/>
        </w:rPr>
        <w:t>“</w:t>
      </w:r>
      <w:r w:rsidR="0037715D">
        <w:rPr>
          <w:lang w:val="en-GB"/>
        </w:rPr>
        <w:t>those involved</w:t>
      </w:r>
      <w:r w:rsidR="000E2D74">
        <w:rPr>
          <w:lang w:val="en-GB"/>
        </w:rPr>
        <w:t>,”</w:t>
      </w:r>
      <w:r w:rsidR="00075F06">
        <w:rPr>
          <w:lang w:val="en-GB"/>
        </w:rPr>
        <w:t xml:space="preserve"> i.e., the salient participants in the situation</w:t>
      </w:r>
      <w:r w:rsidR="0037715D">
        <w:rPr>
          <w:lang w:val="en-GB"/>
        </w:rPr>
        <w:t>.</w:t>
      </w:r>
      <w:r w:rsidR="007E487B">
        <w:rPr>
          <w:rStyle w:val="FootnoteReference"/>
        </w:rPr>
        <w:footnoteReference w:id="31"/>
      </w:r>
      <w:r w:rsidR="0037715D">
        <w:rPr>
          <w:lang w:val="en-GB"/>
        </w:rPr>
        <w:t xml:space="preserve"> </w:t>
      </w:r>
    </w:p>
    <w:p w14:paraId="07C011E6" w14:textId="41961157" w:rsidR="000E2066" w:rsidRDefault="009507AA" w:rsidP="00D75E63">
      <w:pPr>
        <w:pStyle w:val="Standard1218justified"/>
      </w:pPr>
      <w:r>
        <w:t xml:space="preserve">However, </w:t>
      </w:r>
      <w:r w:rsidR="005C1E31">
        <w:t>it often happens that a situation-oriented construal suggests a different rendering than what appears in NJPS,</w:t>
      </w:r>
      <w:r w:rsidR="00F420CD">
        <w:t xml:space="preserve"> yet</w:t>
      </w:r>
      <w:r>
        <w:t xml:space="preserve"> </w:t>
      </w:r>
      <w:r w:rsidR="00E67785">
        <w:t xml:space="preserve">the </w:t>
      </w:r>
      <w:r w:rsidR="00F420CD">
        <w:t>latter</w:t>
      </w:r>
      <w:r w:rsidR="00E67785">
        <w:t xml:space="preserve"> does not warrant alteration on the basis of </w:t>
      </w:r>
      <w:r>
        <w:t>gender</w:t>
      </w:r>
      <w:r w:rsidR="005C1E31">
        <w:t>.</w:t>
      </w:r>
      <w:r>
        <w:t xml:space="preserve"> </w:t>
      </w:r>
      <w:r w:rsidR="00F420CD">
        <w:t xml:space="preserve">In such cases, </w:t>
      </w:r>
      <w:r>
        <w:t>this edition</w:t>
      </w:r>
      <w:r w:rsidR="00C83D9C">
        <w:t>—</w:t>
      </w:r>
      <w:r w:rsidR="003F1A2E">
        <w:t>in recognition of the fact</w:t>
      </w:r>
      <w:r>
        <w:t xml:space="preserve"> that</w:t>
      </w:r>
      <w:r w:rsidRPr="004A0393">
        <w:t xml:space="preserve"> </w:t>
      </w:r>
      <w:r w:rsidR="00F420CD">
        <w:t>its view of</w:t>
      </w:r>
      <w:r w:rsidR="00F00BBB">
        <w:rPr>
          <w:lang w:val="en-GB"/>
        </w:rPr>
        <w:t xml:space="preserve"> </w:t>
      </w:r>
      <w:proofErr w:type="spellStart"/>
      <w:r w:rsidR="00F00BBB" w:rsidRPr="00DF7DAF">
        <w:rPr>
          <w:rFonts w:ascii="SBL BibLit" w:hAnsi="SBL BibLit" w:cs="SBL BibLit"/>
          <w:rtl/>
          <w:lang w:val="en-GB"/>
        </w:rPr>
        <w:t>אִיש</w:t>
      </w:r>
      <w:proofErr w:type="spellEnd"/>
      <w:r w:rsidR="00F00BBB" w:rsidRPr="00DF7DAF">
        <w:rPr>
          <w:rFonts w:ascii="SBL BibLit" w:hAnsi="SBL BibLit" w:cs="SBL BibLit"/>
          <w:rtl/>
          <w:lang w:val="en-GB"/>
        </w:rPr>
        <w:t>ׁ</w:t>
      </w:r>
      <w:r w:rsidR="00F00BBB" w:rsidRPr="009B6AE5">
        <w:rPr>
          <w:lang w:val="en-GB"/>
        </w:rPr>
        <w:t xml:space="preserve"> </w:t>
      </w:r>
      <w:r w:rsidR="00F00BBB" w:rsidRPr="004A0393">
        <w:t xml:space="preserve">is not </w:t>
      </w:r>
      <w:r w:rsidR="00F00BBB">
        <w:t>the</w:t>
      </w:r>
      <w:r w:rsidR="00F00BBB" w:rsidRPr="004A0393">
        <w:t xml:space="preserve"> consensus position among </w:t>
      </w:r>
      <w:r w:rsidR="00F00BBB">
        <w:t xml:space="preserve">biblical </w:t>
      </w:r>
      <w:r w:rsidR="00F00BBB" w:rsidRPr="004A0393">
        <w:t>scholars</w:t>
      </w:r>
      <w:r w:rsidR="00C83D9C">
        <w:t>—</w:t>
      </w:r>
      <w:r w:rsidR="003C75F6">
        <w:t>tends to</w:t>
      </w:r>
      <w:r w:rsidR="00F00BBB">
        <w:t xml:space="preserve"> deploy </w:t>
      </w:r>
      <w:r w:rsidR="00F420CD">
        <w:t>the</w:t>
      </w:r>
      <w:r w:rsidR="00F57234">
        <w:t xml:space="preserve"> </w:t>
      </w:r>
      <w:r w:rsidR="00F420CD">
        <w:t>new</w:t>
      </w:r>
      <w:r w:rsidR="00667453">
        <w:t xml:space="preserve"> </w:t>
      </w:r>
      <w:r w:rsidR="004D747A">
        <w:t>rendering</w:t>
      </w:r>
      <w:r w:rsidR="00F00BBB">
        <w:t xml:space="preserve"> </w:t>
      </w:r>
      <w:r w:rsidR="004D747A">
        <w:t>in a footnote</w:t>
      </w:r>
      <w:r w:rsidR="007E487B">
        <w:t xml:space="preserve"> as an alternative</w:t>
      </w:r>
      <w:r w:rsidR="004D747A">
        <w:t>,</w:t>
      </w:r>
      <w:r w:rsidR="004D747A" w:rsidRPr="004A0393">
        <w:t xml:space="preserve"> rather than in the translation</w:t>
      </w:r>
      <w:r w:rsidR="004D747A">
        <w:t xml:space="preserve"> </w:t>
      </w:r>
      <w:r>
        <w:t>itself</w:t>
      </w:r>
      <w:r w:rsidR="004D747A">
        <w:t>.</w:t>
      </w:r>
      <w:r w:rsidR="007E487B">
        <w:rPr>
          <w:rStyle w:val="FootnoteReference"/>
        </w:rPr>
        <w:footnoteReference w:id="32"/>
      </w:r>
      <w:r w:rsidR="00F00BBB">
        <w:t xml:space="preserve"> </w:t>
      </w:r>
    </w:p>
    <w:p w14:paraId="7BA19BB0" w14:textId="7F4D43BE" w:rsidR="00B23E9B" w:rsidRDefault="008E537D" w:rsidP="00B23E9B">
      <w:pPr>
        <w:pStyle w:val="Standard1218justified"/>
        <w:rPr>
          <w:lang w:bidi="he-IL"/>
        </w:rPr>
      </w:pPr>
      <w:r>
        <w:t>Four</w:t>
      </w:r>
      <w:r w:rsidR="00C66A4B">
        <w:t xml:space="preserve"> special usages</w:t>
      </w:r>
      <w:r w:rsidR="001A1351">
        <w:t xml:space="preserve"> of </w:t>
      </w:r>
      <w:r w:rsidR="001A1351" w:rsidRPr="00667453">
        <w:rPr>
          <w:rFonts w:hAnsi="SBL BibLit" w:cs="SBL BibLit"/>
          <w:rtl/>
          <w:lang w:bidi="he-IL"/>
        </w:rPr>
        <w:t>אִישׁ</w:t>
      </w:r>
      <w:r w:rsidR="00C66A4B">
        <w:t xml:space="preserve"> deserve mention</w:t>
      </w:r>
      <w:r w:rsidR="001A1351">
        <w:t xml:space="preserve"> because of their distinctive treatment in this edition</w:t>
      </w:r>
      <w:r w:rsidR="00C66A4B">
        <w:t>. One is</w:t>
      </w:r>
      <w:r w:rsidR="00667453">
        <w:t xml:space="preserve"> </w:t>
      </w:r>
      <w:r w:rsidR="00B23E9B" w:rsidRPr="007A38DC">
        <w:t xml:space="preserve">the </w:t>
      </w:r>
      <w:r w:rsidR="00B23E9B">
        <w:t xml:space="preserve">role term </w:t>
      </w:r>
      <w:r w:rsidR="00B23E9B" w:rsidRPr="00667453">
        <w:rPr>
          <w:rFonts w:hAnsi="SBL BibLit" w:cs="SBL BibLit"/>
          <w:rtl/>
          <w:lang w:bidi="he-IL"/>
        </w:rPr>
        <w:t>אִישׁ אֱלֹהִים</w:t>
      </w:r>
      <w:r w:rsidR="00B23E9B">
        <w:rPr>
          <w:lang w:bidi="he-IL"/>
        </w:rPr>
        <w:t xml:space="preserve"> </w:t>
      </w:r>
      <w:r w:rsidR="00B23E9B">
        <w:rPr>
          <w:i/>
          <w:iCs/>
          <w:lang w:bidi="he-IL"/>
        </w:rPr>
        <w:t>’</w:t>
      </w:r>
      <w:proofErr w:type="spellStart"/>
      <w:r w:rsidR="00B23E9B">
        <w:rPr>
          <w:i/>
          <w:iCs/>
          <w:lang w:bidi="he-IL"/>
        </w:rPr>
        <w:t>ish</w:t>
      </w:r>
      <w:proofErr w:type="spellEnd"/>
      <w:r w:rsidR="00B23E9B">
        <w:rPr>
          <w:i/>
          <w:iCs/>
          <w:lang w:bidi="he-IL"/>
        </w:rPr>
        <w:t xml:space="preserve"> ’</w:t>
      </w:r>
      <w:proofErr w:type="spellStart"/>
      <w:r w:rsidR="00B23E9B">
        <w:rPr>
          <w:i/>
          <w:iCs/>
          <w:lang w:bidi="he-IL"/>
        </w:rPr>
        <w:t>elohim</w:t>
      </w:r>
      <w:proofErr w:type="spellEnd"/>
      <w:r w:rsidR="0097432D">
        <w:rPr>
          <w:lang w:bidi="he-IL"/>
        </w:rPr>
        <w:t xml:space="preserve">, which </w:t>
      </w:r>
      <w:r w:rsidR="0097432D" w:rsidRPr="00A178BF">
        <w:rPr>
          <w:szCs w:val="26"/>
        </w:rPr>
        <w:t>occurs 73 times</w:t>
      </w:r>
      <w:r w:rsidR="00A16157">
        <w:rPr>
          <w:szCs w:val="26"/>
        </w:rPr>
        <w:t xml:space="preserve"> in the Hebrew Bible</w:t>
      </w:r>
      <w:r w:rsidR="00C66A4B">
        <w:rPr>
          <w:lang w:bidi="he-IL"/>
        </w:rPr>
        <w:t xml:space="preserve">. </w:t>
      </w:r>
      <w:r w:rsidR="004D747A">
        <w:t>T</w:t>
      </w:r>
      <w:r w:rsidR="00B23E9B">
        <w:t>he traditional</w:t>
      </w:r>
      <w:r w:rsidR="00B23E9B" w:rsidRPr="007A38DC">
        <w:t xml:space="preserve"> rendering </w:t>
      </w:r>
      <w:r w:rsidR="000E2D74">
        <w:t>“</w:t>
      </w:r>
      <w:r w:rsidR="00B23E9B" w:rsidRPr="007A38DC">
        <w:t>man of God</w:t>
      </w:r>
      <w:r w:rsidR="000E2D74">
        <w:t>”</w:t>
      </w:r>
      <w:r w:rsidR="00B23E9B">
        <w:t xml:space="preserve"> is </w:t>
      </w:r>
      <w:r w:rsidR="00C66A4B">
        <w:t>inapt</w:t>
      </w:r>
      <w:r w:rsidR="00453FC8">
        <w:t>,</w:t>
      </w:r>
      <w:r w:rsidR="00B23E9B">
        <w:t xml:space="preserve"> </w:t>
      </w:r>
      <w:r w:rsidR="00453FC8">
        <w:t>for two main reasons</w:t>
      </w:r>
      <w:r w:rsidR="00E1124D">
        <w:t>:</w:t>
      </w:r>
      <w:r w:rsidR="00B23E9B">
        <w:t xml:space="preserve"> (1)</w:t>
      </w:r>
      <w:r w:rsidR="004D747A">
        <w:t xml:space="preserve"> </w:t>
      </w:r>
      <w:r w:rsidR="004D747A" w:rsidRPr="0016689E">
        <w:t>It</w:t>
      </w:r>
      <w:r w:rsidR="00B23E9B" w:rsidRPr="0016689E">
        <w:t>s meaning</w:t>
      </w:r>
      <w:r w:rsidR="004D747A" w:rsidRPr="0016689E">
        <w:t>,</w:t>
      </w:r>
      <w:r w:rsidR="00B23E9B" w:rsidRPr="0016689E">
        <w:t xml:space="preserve"> “a man devoted to</w:t>
      </w:r>
      <w:r w:rsidR="00073408" w:rsidRPr="0016689E">
        <w:t xml:space="preserve"> the service of</w:t>
      </w:r>
      <w:r w:rsidR="00B23E9B" w:rsidRPr="0016689E">
        <w:t xml:space="preserve"> God</w:t>
      </w:r>
      <w:r w:rsidR="004D747A" w:rsidRPr="0016689E">
        <w:t>,</w:t>
      </w:r>
      <w:r w:rsidR="00B23E9B" w:rsidRPr="0016689E">
        <w:t>”</w:t>
      </w:r>
      <w:r w:rsidR="00C66A4B" w:rsidRPr="0016689E">
        <w:rPr>
          <w:rStyle w:val="FootnoteReference"/>
        </w:rPr>
        <w:footnoteReference w:id="33"/>
      </w:r>
      <w:r w:rsidR="00B23E9B" w:rsidRPr="0016689E">
        <w:t xml:space="preserve"> </w:t>
      </w:r>
      <w:r w:rsidR="00777B4A">
        <w:t xml:space="preserve">reflects a Christian construal; </w:t>
      </w:r>
      <w:r w:rsidR="009A0AAB">
        <w:t xml:space="preserve">Christianity’s </w:t>
      </w:r>
      <w:r w:rsidR="00B23E9B" w:rsidRPr="0016689E">
        <w:t xml:space="preserve">New Testament </w:t>
      </w:r>
      <w:r w:rsidR="00777B4A">
        <w:t>applies the term in question to</w:t>
      </w:r>
      <w:r w:rsidR="00B23E9B" w:rsidRPr="0016689E">
        <w:t xml:space="preserve"> </w:t>
      </w:r>
      <w:r w:rsidR="0016689E">
        <w:t>any</w:t>
      </w:r>
      <w:r w:rsidR="00B23E9B" w:rsidRPr="0016689E">
        <w:t>one who relinquishes normal human ties in order to serve God alone.</w:t>
      </w:r>
      <w:r w:rsidR="00821B28">
        <w:rPr>
          <w:rStyle w:val="FootnoteReference"/>
        </w:rPr>
        <w:footnoteReference w:id="34"/>
      </w:r>
      <w:r w:rsidR="00B23E9B" w:rsidRPr="007A38DC">
        <w:t xml:space="preserve"> However, </w:t>
      </w:r>
      <w:r w:rsidR="000B6504">
        <w:t>that</w:t>
      </w:r>
      <w:r w:rsidR="00C66A4B">
        <w:t xml:space="preserve"> meaning</w:t>
      </w:r>
      <w:r w:rsidR="000B6504">
        <w:t xml:space="preserve"> </w:t>
      </w:r>
      <w:r w:rsidR="0016689E">
        <w:t>is at best secondary to</w:t>
      </w:r>
      <w:r w:rsidR="000B6504">
        <w:t xml:space="preserve"> the Hebrew</w:t>
      </w:r>
      <w:r w:rsidR="004D747A">
        <w:t xml:space="preserve"> Bible</w:t>
      </w:r>
      <w:r w:rsidR="004D747A" w:rsidRPr="00B45606">
        <w:t>’s</w:t>
      </w:r>
      <w:r w:rsidR="000B6504" w:rsidRPr="00B45606">
        <w:t xml:space="preserve"> u</w:t>
      </w:r>
      <w:r w:rsidR="000B6504">
        <w:t xml:space="preserve">sage; </w:t>
      </w:r>
      <w:r w:rsidR="00192149" w:rsidRPr="007A38DC">
        <w:t xml:space="preserve">devotion </w:t>
      </w:r>
      <w:r w:rsidR="00192149">
        <w:t>is</w:t>
      </w:r>
      <w:r w:rsidR="00192149" w:rsidRPr="007A38DC">
        <w:t xml:space="preserve"> </w:t>
      </w:r>
      <w:r w:rsidR="00192149">
        <w:t xml:space="preserve">never </w:t>
      </w:r>
      <w:r w:rsidR="00192149" w:rsidRPr="007A38DC">
        <w:t>at issue</w:t>
      </w:r>
      <w:r w:rsidR="00192149">
        <w:t xml:space="preserve"> </w:t>
      </w:r>
      <w:r w:rsidR="00667453">
        <w:t xml:space="preserve">where </w:t>
      </w:r>
      <w:r w:rsidR="000B6504" w:rsidRPr="00667453">
        <w:rPr>
          <w:rFonts w:hAnsi="SBL BibLit" w:cs="SBL BibLit"/>
          <w:rtl/>
          <w:lang w:bidi="he-IL"/>
        </w:rPr>
        <w:t>אִישׁ אֱלֹהִים</w:t>
      </w:r>
      <w:r w:rsidR="000B6504">
        <w:t xml:space="preserve"> appears</w:t>
      </w:r>
      <w:r w:rsidR="00B23E9B">
        <w:t>. (2) The marked</w:t>
      </w:r>
      <w:r w:rsidR="00BC3D10">
        <w:t>ly increased</w:t>
      </w:r>
      <w:r w:rsidR="00B23E9B">
        <w:t xml:space="preserve"> gendering in recent decades of the noun </w:t>
      </w:r>
      <w:r w:rsidR="00B23E9B">
        <w:rPr>
          <w:i/>
          <w:iCs/>
        </w:rPr>
        <w:t>man</w:t>
      </w:r>
      <w:r w:rsidR="00B23E9B">
        <w:t>, as discussed above, has undercut its situating usage in this expression, leaving an opaque term in its wake.</w:t>
      </w:r>
      <w:r w:rsidR="00B23E9B">
        <w:rPr>
          <w:rStyle w:val="FootnoteReference"/>
        </w:rPr>
        <w:footnoteReference w:id="35"/>
      </w:r>
      <w:r w:rsidR="00B23E9B">
        <w:rPr>
          <w:lang w:bidi="he-IL"/>
        </w:rPr>
        <w:t xml:space="preserve"> </w:t>
      </w:r>
    </w:p>
    <w:p w14:paraId="01DE9811" w14:textId="0A3E9661" w:rsidR="00B23E9B" w:rsidRDefault="00B23E9B" w:rsidP="00B23E9B">
      <w:pPr>
        <w:pStyle w:val="Standard1218justified"/>
      </w:pPr>
      <w:r>
        <w:t>When</w:t>
      </w:r>
      <w:r w:rsidR="006212FA">
        <w:t>ever</w:t>
      </w:r>
      <w:r>
        <w:t xml:space="preserve"> </w:t>
      </w:r>
      <w:r w:rsidR="004D747A" w:rsidRPr="00667453">
        <w:rPr>
          <w:rFonts w:hAnsi="SBL BibLit" w:cs="SBL BibLit"/>
          <w:rtl/>
          <w:lang w:bidi="he-IL"/>
        </w:rPr>
        <w:t>אִישׁ אֱלֹהִים</w:t>
      </w:r>
      <w:r>
        <w:t xml:space="preserve"> is used as a label or title, what is actually </w:t>
      </w:r>
      <w:r w:rsidR="00F75ABC">
        <w:t>in view</w:t>
      </w:r>
      <w:r>
        <w:t xml:space="preserve"> is</w:t>
      </w:r>
      <w:r w:rsidRPr="007A38DC">
        <w:t xml:space="preserve"> </w:t>
      </w:r>
      <w:r>
        <w:t>the person</w:t>
      </w:r>
      <w:r w:rsidRPr="00B45606">
        <w:t>’s a</w:t>
      </w:r>
      <w:r w:rsidRPr="007A38DC">
        <w:t>bility to</w:t>
      </w:r>
      <w:r w:rsidR="00D6067A">
        <w:t xml:space="preserve"> articulate </w:t>
      </w:r>
      <w:r w:rsidR="00D6067A">
        <w:rPr>
          <w:smallCaps/>
        </w:rPr>
        <w:t>God</w:t>
      </w:r>
      <w:r w:rsidR="00D6067A">
        <w:t xml:space="preserve">’s view of the political or social situation at hand, or to otherwise represent </w:t>
      </w:r>
      <w:r w:rsidR="00D6067A">
        <w:rPr>
          <w:smallCaps/>
        </w:rPr>
        <w:t>God</w:t>
      </w:r>
      <w:r w:rsidR="00D6067A">
        <w:t>’s interests regarding that situation—that is, to</w:t>
      </w:r>
      <w:r w:rsidRPr="007A38DC">
        <w:t xml:space="preserve"> bring the divine realm to bear upon the mundane realm.</w:t>
      </w:r>
      <w:r>
        <w:t xml:space="preserve"> The term itself situates the </w:t>
      </w:r>
      <w:r w:rsidR="00382579">
        <w:t xml:space="preserve">referent </w:t>
      </w:r>
      <w:r>
        <w:t xml:space="preserve">between God and the rest of society. </w:t>
      </w:r>
      <w:r w:rsidR="007F3011">
        <w:t>Consequently, the</w:t>
      </w:r>
      <w:r>
        <w:t xml:space="preserve"> present revision employs the</w:t>
      </w:r>
      <w:r w:rsidRPr="007A38DC">
        <w:t xml:space="preserve"> rendering </w:t>
      </w:r>
      <w:r w:rsidR="00B45606">
        <w:t>“</w:t>
      </w:r>
      <w:r w:rsidRPr="007A38DC">
        <w:t>agent of God</w:t>
      </w:r>
      <w:r w:rsidR="000E2D74">
        <w:t>”</w:t>
      </w:r>
      <w:r w:rsidR="005F00F8">
        <w:t>—an</w:t>
      </w:r>
      <w:r w:rsidR="00C66A4B">
        <w:t xml:space="preserve"> </w:t>
      </w:r>
      <w:r w:rsidR="00DF08CE">
        <w:t>expression</w:t>
      </w:r>
      <w:r>
        <w:t xml:space="preserve"> </w:t>
      </w:r>
      <w:r w:rsidR="00270EA9">
        <w:t xml:space="preserve">consistent </w:t>
      </w:r>
      <w:r w:rsidRPr="007A38DC">
        <w:t>with all</w:t>
      </w:r>
      <w:r>
        <w:t xml:space="preserve"> of the Hebrew term</w:t>
      </w:r>
      <w:r w:rsidRPr="00B45606">
        <w:t>’s c</w:t>
      </w:r>
      <w:r w:rsidRPr="007A38DC">
        <w:t>haracteristic usages</w:t>
      </w:r>
      <w:r>
        <w:t>.</w:t>
      </w:r>
      <w:r w:rsidR="00777B4A">
        <w:rPr>
          <w:rStyle w:val="FootnoteReference"/>
        </w:rPr>
        <w:footnoteReference w:id="36"/>
      </w:r>
    </w:p>
    <w:p w14:paraId="7C3E979D" w14:textId="7C865DF1" w:rsidR="004A6443" w:rsidRDefault="008316DE" w:rsidP="008316DE">
      <w:pPr>
        <w:pStyle w:val="Standard1218justified"/>
      </w:pPr>
      <w:r>
        <w:t>A</w:t>
      </w:r>
      <w:r w:rsidR="001A1351">
        <w:t xml:space="preserve"> second</w:t>
      </w:r>
      <w:r>
        <w:t xml:space="preserve"> </w:t>
      </w:r>
      <w:r w:rsidR="00333D53">
        <w:t>expression</w:t>
      </w:r>
      <w:r>
        <w:t xml:space="preserve"> with special meaning—occurring often in the Former Prophets—combines the singular </w:t>
      </w:r>
      <w:r w:rsidRPr="007F3011">
        <w:rPr>
          <w:rFonts w:hAnsi="SBL BibLit" w:cs="SBL BibLit"/>
          <w:rtl/>
          <w:lang w:bidi="he-IL"/>
        </w:rPr>
        <w:t>אִישׁ</w:t>
      </w:r>
      <w:r>
        <w:t xml:space="preserve"> with the name of a group, which is </w:t>
      </w:r>
      <w:r w:rsidR="008F66D2">
        <w:t xml:space="preserve">then </w:t>
      </w:r>
      <w:r>
        <w:t>applied collective</w:t>
      </w:r>
      <w:r w:rsidR="00433A8C">
        <w:t>ly</w:t>
      </w:r>
      <w:r w:rsidR="002444A5">
        <w:t xml:space="preserve"> rather than to an individual</w:t>
      </w:r>
      <w:r>
        <w:t>.</w:t>
      </w:r>
      <w:r w:rsidR="00116231">
        <w:t xml:space="preserve"> </w:t>
      </w:r>
      <w:r w:rsidR="006475F1">
        <w:t xml:space="preserve">For example, </w:t>
      </w:r>
      <w:r w:rsidR="00341572">
        <w:t>while</w:t>
      </w:r>
      <w:r w:rsidR="006475F1">
        <w:t xml:space="preserve"> </w:t>
      </w:r>
      <w:r w:rsidR="00807EAB">
        <w:t>recounting the start of a rebellion against King David</w:t>
      </w:r>
      <w:r w:rsidR="006475F1">
        <w:t xml:space="preserve">, </w:t>
      </w:r>
      <w:r w:rsidR="003D2C95">
        <w:t>a narrator notes,</w:t>
      </w:r>
    </w:p>
    <w:p w14:paraId="4D8920FA" w14:textId="75F836B4" w:rsidR="004A6443" w:rsidRPr="006475F1" w:rsidRDefault="006475F1" w:rsidP="006475F1">
      <w:pPr>
        <w:pStyle w:val="Standard1218justified"/>
        <w:spacing w:before="120"/>
        <w:ind w:firstLine="0"/>
        <w:jc w:val="center"/>
        <w:rPr>
          <w:rFonts w:hAnsi="SBL BibLit" w:cs="SBL BibLit"/>
          <w:sz w:val="28"/>
          <w:szCs w:val="28"/>
          <w:lang w:bidi="he-IL"/>
        </w:rPr>
      </w:pPr>
      <w:r w:rsidRPr="006475F1">
        <w:rPr>
          <w:rFonts w:hAnsi="SBL BibLit" w:cs="SBL BibLit" w:hint="cs"/>
          <w:sz w:val="28"/>
          <w:szCs w:val="28"/>
          <w:rtl/>
          <w:lang w:bidi="he-IL"/>
        </w:rPr>
        <w:t>וְ</w:t>
      </w:r>
      <w:r w:rsidRPr="006475F1">
        <w:rPr>
          <w:rFonts w:hAnsi="SBL BibLit" w:cs="SBL BibLit" w:hint="cs"/>
          <w:sz w:val="28"/>
          <w:szCs w:val="28"/>
          <w:highlight w:val="lightGray"/>
          <w:rtl/>
          <w:lang w:bidi="he-IL"/>
        </w:rPr>
        <w:t>אִישׁ</w:t>
      </w:r>
      <w:r w:rsidRPr="006475F1">
        <w:rPr>
          <w:rFonts w:hAnsi="SBL BibLit" w:cs="SBL BibLit" w:hint="cs"/>
          <w:sz w:val="28"/>
          <w:szCs w:val="28"/>
          <w:highlight w:val="lightGray"/>
          <w:rtl/>
        </w:rPr>
        <w:t xml:space="preserve"> </w:t>
      </w:r>
      <w:r w:rsidRPr="006475F1">
        <w:rPr>
          <w:rFonts w:hAnsi="SBL BibLit" w:cs="SBL BibLit" w:hint="cs"/>
          <w:sz w:val="28"/>
          <w:szCs w:val="28"/>
          <w:highlight w:val="lightGray"/>
          <w:rtl/>
          <w:lang w:bidi="he-IL"/>
        </w:rPr>
        <w:t>יְהוּדָה</w:t>
      </w:r>
      <w:r w:rsidRPr="006475F1">
        <w:rPr>
          <w:rFonts w:hAnsi="SBL BibLit" w:cs="SBL BibLit" w:hint="cs"/>
          <w:sz w:val="28"/>
          <w:szCs w:val="28"/>
          <w:rtl/>
        </w:rPr>
        <w:t xml:space="preserve"> </w:t>
      </w:r>
      <w:r w:rsidRPr="006475F1">
        <w:rPr>
          <w:rFonts w:hAnsi="SBL BibLit" w:cs="SBL BibLit" w:hint="cs"/>
          <w:sz w:val="28"/>
          <w:szCs w:val="28"/>
          <w:rtl/>
          <w:lang w:bidi="he-IL"/>
        </w:rPr>
        <w:t>דָּבְקוּ</w:t>
      </w:r>
      <w:r w:rsidRPr="006475F1">
        <w:rPr>
          <w:rFonts w:hAnsi="SBL BibLit" w:cs="SBL BibLit" w:hint="cs"/>
          <w:sz w:val="28"/>
          <w:szCs w:val="28"/>
          <w:rtl/>
        </w:rPr>
        <w:t xml:space="preserve"> </w:t>
      </w:r>
      <w:r w:rsidRPr="006475F1">
        <w:rPr>
          <w:rFonts w:hAnsi="SBL BibLit" w:cs="SBL BibLit" w:hint="cs"/>
          <w:sz w:val="28"/>
          <w:szCs w:val="28"/>
          <w:rtl/>
          <w:lang w:bidi="he-IL"/>
        </w:rPr>
        <w:t>בְמַלְכָּם</w:t>
      </w:r>
    </w:p>
    <w:p w14:paraId="4E577B6B" w14:textId="057169F4" w:rsidR="006475F1" w:rsidRPr="006475F1" w:rsidRDefault="006475F1" w:rsidP="006475F1">
      <w:pPr>
        <w:pStyle w:val="Standard1218justified"/>
        <w:spacing w:after="120"/>
        <w:ind w:firstLine="0"/>
        <w:jc w:val="center"/>
        <w:rPr>
          <w:rFonts w:eastAsia="Crimson Pro" w:cs="Crimson Pro"/>
          <w:sz w:val="22"/>
          <w:szCs w:val="20"/>
          <w:lang w:val="en-GB" w:bidi="he-IL"/>
        </w:rPr>
      </w:pPr>
      <w:r w:rsidRPr="006475F1">
        <w:rPr>
          <w:rFonts w:eastAsia="Crimson Pro" w:cs="Crimson Pro"/>
          <w:sz w:val="22"/>
          <w:szCs w:val="20"/>
          <w:lang w:bidi="he-IL"/>
        </w:rPr>
        <w:t xml:space="preserve">but </w:t>
      </w:r>
      <w:r w:rsidRPr="003D2C95">
        <w:rPr>
          <w:rFonts w:eastAsia="Crimson Pro" w:cs="Crimson Pro"/>
          <w:sz w:val="22"/>
          <w:szCs w:val="20"/>
          <w:u w:val="single"/>
          <w:lang w:bidi="he-IL"/>
        </w:rPr>
        <w:t>Judah’s contingent</w:t>
      </w:r>
      <w:r w:rsidRPr="006475F1">
        <w:rPr>
          <w:rFonts w:eastAsia="Crimson Pro" w:cs="Crimson Pro"/>
          <w:sz w:val="22"/>
          <w:szCs w:val="20"/>
          <w:lang w:bidi="he-IL"/>
        </w:rPr>
        <w:t xml:space="preserve"> accompanied their king</w:t>
      </w:r>
      <w:r>
        <w:rPr>
          <w:rFonts w:eastAsia="Crimson Pro" w:cs="Crimson Pro"/>
          <w:sz w:val="22"/>
          <w:szCs w:val="20"/>
          <w:lang w:bidi="he-IL"/>
        </w:rPr>
        <w:t xml:space="preserve"> (</w:t>
      </w:r>
      <w:r w:rsidR="003D2C95">
        <w:rPr>
          <w:rFonts w:eastAsia="Crimson Pro" w:cs="Crimson Pro"/>
          <w:sz w:val="22"/>
          <w:szCs w:val="20"/>
          <w:lang w:bidi="he-IL"/>
        </w:rPr>
        <w:t>2 Sam. 20.2</w:t>
      </w:r>
      <w:r>
        <w:rPr>
          <w:rFonts w:eastAsia="Crimson Pro" w:cs="Crimson Pro"/>
          <w:sz w:val="22"/>
          <w:szCs w:val="20"/>
          <w:lang w:bidi="he-IL"/>
        </w:rPr>
        <w:t>, RJPS)</w:t>
      </w:r>
    </w:p>
    <w:p w14:paraId="4BC60E8E" w14:textId="4144D3E1" w:rsidR="000E2066" w:rsidRDefault="00DC5A66" w:rsidP="0061486E">
      <w:pPr>
        <w:pStyle w:val="StandardFL"/>
      </w:pPr>
      <w:r>
        <w:t xml:space="preserve">In the expression </w:t>
      </w:r>
      <w:r w:rsidRPr="0061486E">
        <w:rPr>
          <w:rFonts w:hAnsi="SBL BibLit" w:cs="SBL BibLit" w:hint="cs"/>
          <w:rtl/>
          <w:lang w:bidi="he-IL"/>
        </w:rPr>
        <w:t>אִישׁ יְהוּדָה</w:t>
      </w:r>
      <w:r>
        <w:rPr>
          <w:rFonts w:hAnsi="SBL BibLit" w:cs="SBL BibLit"/>
          <w:lang w:bidi="he-IL"/>
        </w:rPr>
        <w:t xml:space="preserve"> </w:t>
      </w:r>
      <w:r w:rsidRPr="00DC5A66">
        <w:rPr>
          <w:i/>
          <w:iCs/>
          <w:lang w:bidi="he-IL"/>
        </w:rPr>
        <w:t>’</w:t>
      </w:r>
      <w:proofErr w:type="spellStart"/>
      <w:r w:rsidRPr="00DC5A66">
        <w:rPr>
          <w:i/>
          <w:iCs/>
          <w:lang w:bidi="he-IL"/>
        </w:rPr>
        <w:t>i</w:t>
      </w:r>
      <w:r>
        <w:rPr>
          <w:rFonts w:hAnsi="SBL BibLit" w:cs="SBL BibLit"/>
          <w:i/>
          <w:iCs/>
          <w:lang w:bidi="he-IL"/>
        </w:rPr>
        <w:t>sh</w:t>
      </w:r>
      <w:proofErr w:type="spellEnd"/>
      <w:r>
        <w:rPr>
          <w:rFonts w:hAnsi="SBL BibLit" w:cs="SBL BibLit"/>
          <w:i/>
          <w:iCs/>
          <w:lang w:bidi="he-IL"/>
        </w:rPr>
        <w:t xml:space="preserve"> </w:t>
      </w:r>
      <w:proofErr w:type="spellStart"/>
      <w:r>
        <w:rPr>
          <w:rFonts w:hAnsi="SBL BibLit" w:cs="SBL BibLit"/>
          <w:i/>
          <w:iCs/>
          <w:lang w:bidi="he-IL"/>
        </w:rPr>
        <w:t>Yehudah</w:t>
      </w:r>
      <w:proofErr w:type="spellEnd"/>
      <w:r>
        <w:t>, t</w:t>
      </w:r>
      <w:r w:rsidR="003D2C95">
        <w:t xml:space="preserve">he </w:t>
      </w:r>
      <w:r>
        <w:t xml:space="preserve">head </w:t>
      </w:r>
      <w:r w:rsidR="003D2C95">
        <w:t>noun</w:t>
      </w:r>
      <w:r w:rsidR="00E02F78">
        <w:t xml:space="preserve"> </w:t>
      </w:r>
      <w:r w:rsidR="003D2C95">
        <w:t>is singular</w:t>
      </w:r>
      <w:r>
        <w:t>, yet</w:t>
      </w:r>
      <w:r w:rsidR="00A16157">
        <w:t xml:space="preserve"> here</w:t>
      </w:r>
      <w:r w:rsidR="003D2C95">
        <w:t xml:space="preserve"> </w:t>
      </w:r>
      <w:r w:rsidR="00E02F78">
        <w:t>its</w:t>
      </w:r>
      <w:r>
        <w:t xml:space="preserve"> associated</w:t>
      </w:r>
      <w:r w:rsidR="003D2C95">
        <w:t xml:space="preserve"> verb and pronoun are plural. </w:t>
      </w:r>
      <w:r w:rsidR="008316DE">
        <w:t xml:space="preserve">Such </w:t>
      </w:r>
      <w:r w:rsidR="003D2C95">
        <w:t>a formulation</w:t>
      </w:r>
      <w:r w:rsidR="008316DE">
        <w:t xml:space="preserve"> </w:t>
      </w:r>
      <w:r w:rsidR="00D042C3">
        <w:t xml:space="preserve">encourages the audience to </w:t>
      </w:r>
      <w:r w:rsidR="008316DE">
        <w:t xml:space="preserve">regard </w:t>
      </w:r>
      <w:r w:rsidR="00D042C3">
        <w:rPr>
          <w:lang w:bidi="he-IL"/>
        </w:rPr>
        <w:t xml:space="preserve">the </w:t>
      </w:r>
      <w:r w:rsidR="00886308">
        <w:rPr>
          <w:lang w:bidi="he-IL"/>
        </w:rPr>
        <w:t xml:space="preserve">group </w:t>
      </w:r>
      <w:r w:rsidR="00D75CB5">
        <w:rPr>
          <w:lang w:bidi="he-IL"/>
        </w:rPr>
        <w:t xml:space="preserve">referent as a </w:t>
      </w:r>
      <w:r w:rsidR="00D042C3">
        <w:rPr>
          <w:lang w:bidi="he-IL"/>
        </w:rPr>
        <w:t xml:space="preserve">single entity </w:t>
      </w:r>
      <w:r w:rsidR="00D75CB5">
        <w:rPr>
          <w:lang w:bidi="he-IL"/>
        </w:rPr>
        <w:t>in relation to the</w:t>
      </w:r>
      <w:r w:rsidR="002444A5">
        <w:rPr>
          <w:lang w:bidi="he-IL"/>
        </w:rPr>
        <w:t xml:space="preserve"> overall</w:t>
      </w:r>
      <w:r w:rsidR="00D75CB5">
        <w:rPr>
          <w:lang w:bidi="he-IL"/>
        </w:rPr>
        <w:t xml:space="preserve"> situation</w:t>
      </w:r>
      <w:r w:rsidR="006A3778">
        <w:rPr>
          <w:lang w:bidi="he-IL"/>
        </w:rPr>
        <w:t>,</w:t>
      </w:r>
      <w:r w:rsidR="00D042C3">
        <w:rPr>
          <w:lang w:bidi="he-IL"/>
        </w:rPr>
        <w:t xml:space="preserve"> i.e.,</w:t>
      </w:r>
      <w:r w:rsidR="006A3778">
        <w:rPr>
          <w:lang w:bidi="he-IL"/>
        </w:rPr>
        <w:t xml:space="preserve"> as a constitutive participant</w:t>
      </w:r>
      <w:r w:rsidR="00D75CB5">
        <w:rPr>
          <w:lang w:bidi="he-IL"/>
        </w:rPr>
        <w:t>.</w:t>
      </w:r>
      <w:r w:rsidR="006A3778">
        <w:t xml:space="preserve"> </w:t>
      </w:r>
      <w:r>
        <w:t>(</w:t>
      </w:r>
      <w:proofErr w:type="gramStart"/>
      <w:r w:rsidR="006A3778">
        <w:t>Typically</w:t>
      </w:r>
      <w:proofErr w:type="gramEnd"/>
      <w:r w:rsidR="00766B39">
        <w:t xml:space="preserve"> </w:t>
      </w:r>
      <w:r w:rsidR="00483CDD">
        <w:t>the situation</w:t>
      </w:r>
      <w:r w:rsidR="00A16157">
        <w:t xml:space="preserve"> in question</w:t>
      </w:r>
      <w:r w:rsidR="00483CDD">
        <w:t xml:space="preserve"> is </w:t>
      </w:r>
      <w:r w:rsidR="00766B39">
        <w:t>a</w:t>
      </w:r>
      <w:r w:rsidR="00483CDD">
        <w:t xml:space="preserve"> </w:t>
      </w:r>
      <w:r w:rsidR="00886308">
        <w:t xml:space="preserve">group </w:t>
      </w:r>
      <w:r w:rsidR="00483CDD">
        <w:t>conflict</w:t>
      </w:r>
      <w:r w:rsidR="00A16157">
        <w:t>,</w:t>
      </w:r>
      <w:r w:rsidR="00766B39">
        <w:t xml:space="preserve"> in which</w:t>
      </w:r>
      <w:r w:rsidR="00483CDD">
        <w:t xml:space="preserve"> that </w:t>
      </w:r>
      <w:r w:rsidR="008B3C4F">
        <w:t xml:space="preserve">referent </w:t>
      </w:r>
      <w:r w:rsidR="00766B39">
        <w:t>is</w:t>
      </w:r>
      <w:r w:rsidR="00483CDD">
        <w:t xml:space="preserve"> </w:t>
      </w:r>
      <w:r w:rsidR="00766B39">
        <w:t>a</w:t>
      </w:r>
      <w:r w:rsidR="00116231">
        <w:t xml:space="preserve"> disputant</w:t>
      </w:r>
      <w:r w:rsidR="00483CDD">
        <w:t>;</w:t>
      </w:r>
      <w:r w:rsidR="00116231">
        <w:t xml:space="preserve"> or</w:t>
      </w:r>
      <w:r w:rsidR="00483CDD">
        <w:t xml:space="preserve"> a bilateral agreement</w:t>
      </w:r>
      <w:r w:rsidR="00A16157">
        <w:t>,</w:t>
      </w:r>
      <w:r w:rsidR="00766B39">
        <w:t xml:space="preserve"> to which</w:t>
      </w:r>
      <w:r w:rsidR="00483CDD">
        <w:t xml:space="preserve"> that </w:t>
      </w:r>
      <w:r w:rsidR="00766B39">
        <w:t xml:space="preserve">group </w:t>
      </w:r>
      <w:r w:rsidR="00483CDD">
        <w:t>referent</w:t>
      </w:r>
      <w:r w:rsidR="00116231">
        <w:t xml:space="preserve"> </w:t>
      </w:r>
      <w:r w:rsidR="00766B39">
        <w:t>is a</w:t>
      </w:r>
      <w:r w:rsidR="00116231">
        <w:t xml:space="preserve"> part</w:t>
      </w:r>
      <w:r w:rsidR="00766B39">
        <w:t>y</w:t>
      </w:r>
      <w:r w:rsidR="00116231">
        <w:t>.</w:t>
      </w:r>
      <w:r>
        <w:t>)</w:t>
      </w:r>
      <w:r w:rsidR="00005468">
        <w:t xml:space="preserve"> </w:t>
      </w:r>
      <w:r w:rsidR="008F66D2">
        <w:t xml:space="preserve">As usual, </w:t>
      </w:r>
      <w:r w:rsidR="00886308" w:rsidRPr="007F3011">
        <w:rPr>
          <w:rFonts w:hAnsi="SBL BibLit" w:cs="SBL BibLit"/>
          <w:rtl/>
          <w:lang w:bidi="he-IL"/>
        </w:rPr>
        <w:t>אִישׁ</w:t>
      </w:r>
      <w:r w:rsidR="00886308">
        <w:t xml:space="preserve"> evokes </w:t>
      </w:r>
      <w:r w:rsidR="008F66D2">
        <w:t>the</w:t>
      </w:r>
      <w:r w:rsidR="00886308">
        <w:t xml:space="preserve"> situation</w:t>
      </w:r>
      <w:r w:rsidR="00A16157">
        <w:t xml:space="preserve"> of interest</w:t>
      </w:r>
      <w:r w:rsidR="0061486E">
        <w:t>. Unfortunately, that</w:t>
      </w:r>
      <w:r w:rsidR="00886308">
        <w:t xml:space="preserve"> </w:t>
      </w:r>
      <w:r w:rsidR="00A16157">
        <w:t>evocation</w:t>
      </w:r>
      <w:r w:rsidR="00886308">
        <w:t xml:space="preserve"> is shortchanged</w:t>
      </w:r>
      <w:r w:rsidR="00A16157">
        <w:t xml:space="preserve"> in translation</w:t>
      </w:r>
      <w:r w:rsidR="00886308">
        <w:t xml:space="preserve"> by t</w:t>
      </w:r>
      <w:r w:rsidR="002444A5">
        <w:t>he t</w:t>
      </w:r>
      <w:r w:rsidR="00436C5F">
        <w:t>raditional</w:t>
      </w:r>
      <w:r w:rsidR="003D2C95">
        <w:t xml:space="preserve"> (and NJPS)</w:t>
      </w:r>
      <w:r w:rsidR="00005468">
        <w:t xml:space="preserve"> rendering</w:t>
      </w:r>
      <w:r w:rsidR="002444A5">
        <w:t xml:space="preserve"> of </w:t>
      </w:r>
      <w:r w:rsidR="0061486E" w:rsidRPr="0061486E">
        <w:rPr>
          <w:rFonts w:hAnsi="SBL BibLit" w:cs="SBL BibLit" w:hint="cs"/>
          <w:rtl/>
          <w:lang w:bidi="he-IL"/>
        </w:rPr>
        <w:t>אִישׁ יְהוּדָה</w:t>
      </w:r>
      <w:r w:rsidR="0061486E">
        <w:rPr>
          <w:rFonts w:hAnsi="SBL BibLit" w:cs="SBL BibLit"/>
          <w:lang w:bidi="he-IL"/>
        </w:rPr>
        <w:t xml:space="preserve"> </w:t>
      </w:r>
      <w:r w:rsidR="002444A5">
        <w:t xml:space="preserve">as </w:t>
      </w:r>
      <w:r w:rsidR="00B45606">
        <w:t>“</w:t>
      </w:r>
      <w:r w:rsidR="003D2C95">
        <w:t xml:space="preserve">the </w:t>
      </w:r>
      <w:r w:rsidR="00005468">
        <w:t>men</w:t>
      </w:r>
      <w:r w:rsidR="0061486E">
        <w:t xml:space="preserve"> of Judah</w:t>
      </w:r>
      <w:r w:rsidR="00886308">
        <w:t>.</w:t>
      </w:r>
      <w:r w:rsidR="00B45606">
        <w:t>”</w:t>
      </w:r>
      <w:r w:rsidR="00005468">
        <w:t xml:space="preserve"> </w:t>
      </w:r>
      <w:r w:rsidR="008F66D2">
        <w:t>In order to bring the</w:t>
      </w:r>
      <w:r w:rsidR="00E02F78">
        <w:t xml:space="preserve"> larger</w:t>
      </w:r>
      <w:r w:rsidR="008F66D2">
        <w:t xml:space="preserve"> situation into view, the</w:t>
      </w:r>
      <w:r w:rsidR="00005468">
        <w:t xml:space="preserve"> present edition </w:t>
      </w:r>
      <w:r w:rsidR="003C5D1B">
        <w:t xml:space="preserve">instead uses </w:t>
      </w:r>
      <w:r w:rsidR="008F66D2">
        <w:t xml:space="preserve">a </w:t>
      </w:r>
      <w:r w:rsidR="00D042C3">
        <w:t>more situationally oriented</w:t>
      </w:r>
      <w:r w:rsidR="00D042C3" w:rsidDel="00D042C3">
        <w:t xml:space="preserve"> </w:t>
      </w:r>
      <w:r w:rsidR="002444A5">
        <w:t>term</w:t>
      </w:r>
      <w:r w:rsidR="00B76BA4">
        <w:t>,</w:t>
      </w:r>
      <w:r w:rsidR="003C5D1B">
        <w:t xml:space="preserve"> such as </w:t>
      </w:r>
      <w:r w:rsidR="003D2C95">
        <w:t xml:space="preserve">“contingent,” </w:t>
      </w:r>
      <w:r w:rsidR="00B45606">
        <w:t>“</w:t>
      </w:r>
      <w:r w:rsidR="003C5D1B">
        <w:t>side</w:t>
      </w:r>
      <w:r w:rsidR="000E2D74">
        <w:t>,”</w:t>
      </w:r>
      <w:r w:rsidR="003C5D1B">
        <w:t xml:space="preserve"> </w:t>
      </w:r>
      <w:r w:rsidR="00B45606">
        <w:t>“</w:t>
      </w:r>
      <w:r w:rsidR="003C5D1B">
        <w:t>force</w:t>
      </w:r>
      <w:r w:rsidR="003D2C95">
        <w:t>,</w:t>
      </w:r>
      <w:r w:rsidR="000E2D74">
        <w:t>”</w:t>
      </w:r>
      <w:r w:rsidR="003D2C95">
        <w:t xml:space="preserve"> and “delegation.”</w:t>
      </w:r>
    </w:p>
    <w:p w14:paraId="661C7071" w14:textId="1A066181" w:rsidR="009368FF" w:rsidRDefault="008E537D" w:rsidP="00105301">
      <w:pPr>
        <w:pStyle w:val="Standard1218justified"/>
      </w:pPr>
      <w:r>
        <w:t>A</w:t>
      </w:r>
      <w:r w:rsidR="001A1351">
        <w:t xml:space="preserve"> third</w:t>
      </w:r>
      <w:r w:rsidR="00965878">
        <w:t xml:space="preserve"> </w:t>
      </w:r>
      <w:r>
        <w:t xml:space="preserve">usage of interest is </w:t>
      </w:r>
      <w:r w:rsidR="009368FF">
        <w:t>the</w:t>
      </w:r>
      <w:r>
        <w:t xml:space="preserve"> application</w:t>
      </w:r>
      <w:r w:rsidR="009368FF" w:rsidRPr="009368FF">
        <w:t xml:space="preserve"> </w:t>
      </w:r>
      <w:r w:rsidR="009368FF">
        <w:t xml:space="preserve">of </w:t>
      </w:r>
      <w:r w:rsidR="009368FF" w:rsidRPr="00FD78BE">
        <w:rPr>
          <w:rFonts w:hAnsi="SBL BibLit" w:cs="SBL BibLit"/>
          <w:rtl/>
          <w:lang w:bidi="he-IL"/>
        </w:rPr>
        <w:t>אִישׁ</w:t>
      </w:r>
      <w:r>
        <w:t xml:space="preserve"> to</w:t>
      </w:r>
      <w:r w:rsidR="002444A5">
        <w:t xml:space="preserve"> refer to</w:t>
      </w:r>
      <w:r>
        <w:t xml:space="preserve"> supernatural beings (messengers or guides).</w:t>
      </w:r>
      <w:r w:rsidR="009368FF">
        <w:rPr>
          <w:rStyle w:val="FootnoteReference"/>
        </w:rPr>
        <w:footnoteReference w:id="37"/>
      </w:r>
      <w:r>
        <w:t xml:space="preserve"> T</w:t>
      </w:r>
      <w:r w:rsidR="00FD011C">
        <w:t>o</w:t>
      </w:r>
      <w:r>
        <w:t xml:space="preserve"> put this </w:t>
      </w:r>
      <w:r w:rsidR="00B72056">
        <w:t xml:space="preserve">biblical </w:t>
      </w:r>
      <w:r>
        <w:t>practice into perspective</w:t>
      </w:r>
      <w:r w:rsidR="00FD011C">
        <w:t xml:space="preserve">, </w:t>
      </w:r>
      <w:r w:rsidR="00D87533">
        <w:t>let us observe</w:t>
      </w:r>
      <w:r w:rsidR="00FD011C">
        <w:t xml:space="preserve"> that </w:t>
      </w:r>
      <w:r w:rsidR="00DC5A66">
        <w:t>it</w:t>
      </w:r>
      <w:r>
        <w:t xml:space="preserve"> is</w:t>
      </w:r>
      <w:r w:rsidR="00FD011C">
        <w:t xml:space="preserve"> just</w:t>
      </w:r>
      <w:r>
        <w:t xml:space="preserve"> </w:t>
      </w:r>
      <w:r w:rsidR="00B72056">
        <w:t>one</w:t>
      </w:r>
      <w:r>
        <w:t xml:space="preserve"> of many applications of </w:t>
      </w:r>
      <w:r w:rsidRPr="00FD78BE">
        <w:rPr>
          <w:rFonts w:hAnsi="SBL BibLit" w:cs="SBL BibLit"/>
          <w:rtl/>
          <w:lang w:bidi="he-IL"/>
        </w:rPr>
        <w:t>אִישׁ</w:t>
      </w:r>
      <w:r>
        <w:t xml:space="preserve"> to non-human entities</w:t>
      </w:r>
      <w:r w:rsidR="00032D50">
        <w:t xml:space="preserve"> (</w:t>
      </w:r>
      <w:r w:rsidR="00737AD3">
        <w:t xml:space="preserve">including also </w:t>
      </w:r>
      <w:r w:rsidR="00032D50">
        <w:t xml:space="preserve">animals, inanimate objects, and abstract </w:t>
      </w:r>
      <w:r w:rsidR="00737AD3">
        <w:t>sets</w:t>
      </w:r>
      <w:r w:rsidR="00032D50">
        <w:t>)</w:t>
      </w:r>
      <w:r w:rsidR="00237540">
        <w:t>. In all</w:t>
      </w:r>
      <w:r w:rsidR="00A628CF">
        <w:t xml:space="preserve"> such</w:t>
      </w:r>
      <w:r w:rsidR="00237540">
        <w:t xml:space="preserve"> cases, </w:t>
      </w:r>
      <w:r w:rsidR="00B72056">
        <w:t>this noun</w:t>
      </w:r>
      <w:r w:rsidR="00B72056" w:rsidRPr="00B45606">
        <w:t>’s u</w:t>
      </w:r>
      <w:r w:rsidR="00B72056">
        <w:t xml:space="preserve">sage can be readily explained in terms of its classic situating function. </w:t>
      </w:r>
      <w:r w:rsidR="00F769CA">
        <w:t>O</w:t>
      </w:r>
      <w:r w:rsidR="00411AB4">
        <w:t>ccasionally</w:t>
      </w:r>
      <w:r w:rsidR="00F769CA">
        <w:t xml:space="preserve"> the</w:t>
      </w:r>
      <w:r w:rsidR="00411AB4">
        <w:t xml:space="preserve"> need</w:t>
      </w:r>
      <w:r w:rsidR="00F769CA">
        <w:t xml:space="preserve"> </w:t>
      </w:r>
      <w:r w:rsidR="00DC5A66">
        <w:t>arose</w:t>
      </w:r>
      <w:r w:rsidR="00411AB4">
        <w:t xml:space="preserve"> to mentally situate and keep track of non-human entities</w:t>
      </w:r>
      <w:r w:rsidR="00DC5A66">
        <w:t>; and w</w:t>
      </w:r>
      <w:r w:rsidR="004D39DD">
        <w:t xml:space="preserve">hen that function </w:t>
      </w:r>
      <w:r w:rsidR="00DC5A66">
        <w:t>needed to be</w:t>
      </w:r>
      <w:r w:rsidR="00FD011C">
        <w:t xml:space="preserve"> </w:t>
      </w:r>
      <w:r w:rsidR="004D39DD">
        <w:t>communicat</w:t>
      </w:r>
      <w:r w:rsidR="00DC5A66">
        <w:t>ed</w:t>
      </w:r>
      <w:r w:rsidR="004D39DD">
        <w:t xml:space="preserve">, </w:t>
      </w:r>
      <w:r w:rsidR="004D39DD" w:rsidRPr="007F3011">
        <w:rPr>
          <w:rFonts w:hAnsi="SBL BibLit" w:cs="SBL BibLit"/>
          <w:rtl/>
          <w:lang w:bidi="he-IL"/>
        </w:rPr>
        <w:t>אִישׁ</w:t>
      </w:r>
      <w:r w:rsidR="004D39DD">
        <w:t xml:space="preserve"> </w:t>
      </w:r>
      <w:r w:rsidR="00FD011C">
        <w:t>was</w:t>
      </w:r>
      <w:r w:rsidR="004D39DD">
        <w:t xml:space="preserve"> </w:t>
      </w:r>
      <w:r w:rsidR="00825142">
        <w:t>available</w:t>
      </w:r>
      <w:r w:rsidR="00FD011C">
        <w:t xml:space="preserve"> </w:t>
      </w:r>
      <w:r w:rsidR="00DC5A66">
        <w:t>to be applied</w:t>
      </w:r>
      <w:r w:rsidR="004D39DD">
        <w:t xml:space="preserve"> to </w:t>
      </w:r>
      <w:r w:rsidR="00A628CF">
        <w:t>such</w:t>
      </w:r>
      <w:r w:rsidR="004D39DD">
        <w:t xml:space="preserve"> referents</w:t>
      </w:r>
      <w:r w:rsidR="00DC5A66">
        <w:t>—</w:t>
      </w:r>
      <w:r w:rsidR="00237540">
        <w:t>perform</w:t>
      </w:r>
      <w:r w:rsidR="00506317">
        <w:t>ing</w:t>
      </w:r>
      <w:r w:rsidR="00237540">
        <w:t xml:space="preserve"> the same</w:t>
      </w:r>
      <w:r w:rsidR="00155A2E">
        <w:t xml:space="preserve"> prototypical</w:t>
      </w:r>
      <w:r w:rsidR="00237540">
        <w:t xml:space="preserve"> situating function as </w:t>
      </w:r>
      <w:r w:rsidR="00A628CF">
        <w:t>for</w:t>
      </w:r>
      <w:r w:rsidR="00237540">
        <w:t xml:space="preserve"> </w:t>
      </w:r>
      <w:r w:rsidR="004D39DD">
        <w:t>persons</w:t>
      </w:r>
      <w:r w:rsidR="00ED2BF1">
        <w:t>.</w:t>
      </w:r>
      <w:r w:rsidR="00A628CF">
        <w:rPr>
          <w:rStyle w:val="FootnoteReference"/>
        </w:rPr>
        <w:footnoteReference w:id="38"/>
      </w:r>
      <w:r w:rsidR="00ED2BF1">
        <w:t xml:space="preserve"> </w:t>
      </w:r>
    </w:p>
    <w:p w14:paraId="67EF97B5" w14:textId="3AE69D7A" w:rsidR="008E537D" w:rsidRDefault="00D44699" w:rsidP="00696563">
      <w:pPr>
        <w:pStyle w:val="Standard1218justified"/>
      </w:pPr>
      <w:r>
        <w:t>As noted above, when</w:t>
      </w:r>
      <w:r w:rsidR="00C619EF">
        <w:t xml:space="preserve"> </w:t>
      </w:r>
      <w:r w:rsidR="00506317" w:rsidRPr="007F3011">
        <w:rPr>
          <w:rFonts w:hAnsi="SBL BibLit" w:cs="SBL BibLit"/>
          <w:rtl/>
          <w:lang w:bidi="he-IL"/>
        </w:rPr>
        <w:t>אִישׁ</w:t>
      </w:r>
      <w:r w:rsidR="00506317">
        <w:t xml:space="preserve"> </w:t>
      </w:r>
      <w:r w:rsidR="00696563">
        <w:t>is applied to a supernatural being</w:t>
      </w:r>
      <w:r>
        <w:t>,</w:t>
      </w:r>
      <w:r w:rsidR="00C619EF">
        <w:t xml:space="preserve"> </w:t>
      </w:r>
      <w:r w:rsidR="009368FF">
        <w:t>the rendering</w:t>
      </w:r>
      <w:r w:rsidR="00825142">
        <w:t xml:space="preserve"> </w:t>
      </w:r>
      <w:r w:rsidR="00B45606">
        <w:t>“</w:t>
      </w:r>
      <w:r w:rsidR="00825142" w:rsidRPr="00825142">
        <w:t>man</w:t>
      </w:r>
      <w:r w:rsidR="00B45606">
        <w:t>”</w:t>
      </w:r>
      <w:r w:rsidR="009368FF">
        <w:t xml:space="preserve"> is no longer appropriate</w:t>
      </w:r>
      <w:r w:rsidR="00825142">
        <w:t>, because</w:t>
      </w:r>
      <w:r w:rsidR="00696563">
        <w:t xml:space="preserve"> the meaning of</w:t>
      </w:r>
      <w:r w:rsidR="00825142">
        <w:t xml:space="preserve"> </w:t>
      </w:r>
      <w:r w:rsidR="00825142">
        <w:rPr>
          <w:i/>
          <w:iCs/>
        </w:rPr>
        <w:t>man</w:t>
      </w:r>
      <w:r w:rsidR="00825142">
        <w:t xml:space="preserve"> has become</w:t>
      </w:r>
      <w:r w:rsidR="00825142" w:rsidRPr="00825142">
        <w:t xml:space="preserve"> too gendered</w:t>
      </w:r>
      <w:r w:rsidR="00696563">
        <w:t xml:space="preserve"> and human-oriented</w:t>
      </w:r>
      <w:r w:rsidR="00800A36">
        <w:t>;</w:t>
      </w:r>
      <w:r w:rsidR="009368FF">
        <w:rPr>
          <w:rStyle w:val="FootnoteReference"/>
        </w:rPr>
        <w:footnoteReference w:id="39"/>
      </w:r>
      <w:r w:rsidR="00696563">
        <w:t xml:space="preserve"> </w:t>
      </w:r>
      <w:r w:rsidR="00800A36">
        <w:t>i</w:t>
      </w:r>
      <w:r w:rsidR="00B3291D">
        <w:t xml:space="preserve">t </w:t>
      </w:r>
      <w:r w:rsidR="00C619EF">
        <w:t>has lost the ability to</w:t>
      </w:r>
      <w:r w:rsidR="00B3291D">
        <w:t xml:space="preserve"> indicate situatedness</w:t>
      </w:r>
      <w:r w:rsidR="00C20AC5">
        <w:t xml:space="preserve"> in such a context</w:t>
      </w:r>
      <w:r w:rsidR="00800A36">
        <w:t xml:space="preserve"> of use</w:t>
      </w:r>
      <w:r w:rsidR="00B3291D">
        <w:t xml:space="preserve">. </w:t>
      </w:r>
      <w:r w:rsidR="00696563">
        <w:t>Hence the present edition employs another label</w:t>
      </w:r>
      <w:r w:rsidR="00B3291D">
        <w:t xml:space="preserve"> </w:t>
      </w:r>
      <w:r w:rsidR="00C619EF">
        <w:t>that has similarly</w:t>
      </w:r>
      <w:r w:rsidR="00B3291D">
        <w:t xml:space="preserve"> </w:t>
      </w:r>
      <w:r w:rsidR="00E53E29">
        <w:t>vague</w:t>
      </w:r>
      <w:r w:rsidR="00B3291D">
        <w:t xml:space="preserve"> semantic content, </w:t>
      </w:r>
      <w:r w:rsidR="00656645">
        <w:t xml:space="preserve">more </w:t>
      </w:r>
      <w:r w:rsidR="00B3291D">
        <w:t xml:space="preserve">akin to the original meaning of </w:t>
      </w:r>
      <w:r w:rsidR="00B3291D">
        <w:rPr>
          <w:i/>
          <w:iCs/>
        </w:rPr>
        <w:t>man</w:t>
      </w:r>
      <w:r w:rsidR="00696563">
        <w:t xml:space="preserve">. </w:t>
      </w:r>
      <w:r w:rsidR="00F54534">
        <w:t xml:space="preserve">For example, </w:t>
      </w:r>
      <w:r w:rsidR="00CD01D4">
        <w:t>in recounting a vision</w:t>
      </w:r>
      <w:r w:rsidR="00696563">
        <w:t xml:space="preserve">, </w:t>
      </w:r>
      <w:r w:rsidR="00F769CA">
        <w:t>the rendering</w:t>
      </w:r>
      <w:r w:rsidR="008E537D" w:rsidRPr="00696563">
        <w:t xml:space="preserve"> </w:t>
      </w:r>
      <w:r w:rsidR="00B45606">
        <w:t>“</w:t>
      </w:r>
      <w:r w:rsidR="00F54534" w:rsidRPr="00696563">
        <w:t>that figure was standing beside me</w:t>
      </w:r>
      <w:r w:rsidR="00B45606">
        <w:t>”</w:t>
      </w:r>
      <w:r w:rsidR="00F54534" w:rsidRPr="00696563">
        <w:t xml:space="preserve"> </w:t>
      </w:r>
      <w:r w:rsidR="00F54534">
        <w:t xml:space="preserve">replaces </w:t>
      </w:r>
      <w:r w:rsidR="00B45606">
        <w:t>“</w:t>
      </w:r>
      <w:r w:rsidR="008E537D" w:rsidRPr="00696563">
        <w:t>[the] man was standing beside me</w:t>
      </w:r>
      <w:r w:rsidR="00B45606">
        <w:t>”</w:t>
      </w:r>
      <w:r w:rsidR="008E537D" w:rsidRPr="00696563">
        <w:t xml:space="preserve"> (</w:t>
      </w:r>
      <w:r w:rsidR="00CD01D4" w:rsidRPr="00696563">
        <w:t>Ezek. 43.6</w:t>
      </w:r>
      <w:r w:rsidR="00CD01D4">
        <w:t xml:space="preserve">, </w:t>
      </w:r>
      <w:r w:rsidR="008E537D" w:rsidRPr="00696563">
        <w:t>NJPS).</w:t>
      </w:r>
      <w:r w:rsidR="00B72056">
        <w:t xml:space="preserve"> </w:t>
      </w:r>
    </w:p>
    <w:p w14:paraId="5C9E1FA9" w14:textId="4EC62C33" w:rsidR="00C161C0" w:rsidRDefault="008E537D" w:rsidP="00F038DE">
      <w:pPr>
        <w:pStyle w:val="Standard1218justified"/>
      </w:pPr>
      <w:r>
        <w:t xml:space="preserve">The fourth </w:t>
      </w:r>
      <w:r w:rsidR="001A1351">
        <w:t xml:space="preserve">noteworthy </w:t>
      </w:r>
      <w:r w:rsidR="00965878">
        <w:t>special usage is found in t</w:t>
      </w:r>
      <w:r w:rsidR="00105301">
        <w:t>he book of Proverbs</w:t>
      </w:r>
      <w:r w:rsidR="00965878">
        <w:t>, which</w:t>
      </w:r>
      <w:r w:rsidR="00105301">
        <w:t xml:space="preserve"> repeatedly </w:t>
      </w:r>
      <w:r w:rsidR="00FD78BE">
        <w:t xml:space="preserve">deploys </w:t>
      </w:r>
      <w:r w:rsidR="00FD78BE" w:rsidRPr="00FD78BE">
        <w:rPr>
          <w:rFonts w:hAnsi="SBL BibLit" w:cs="SBL BibLit"/>
          <w:rtl/>
          <w:lang w:bidi="he-IL"/>
        </w:rPr>
        <w:t>אִישׁ</w:t>
      </w:r>
      <w:r w:rsidR="00105301">
        <w:t xml:space="preserve"> </w:t>
      </w:r>
      <w:r w:rsidR="00FD78BE">
        <w:t>to spotlight</w:t>
      </w:r>
      <w:r w:rsidR="00105301">
        <w:t xml:space="preserve"> certain types of people as </w:t>
      </w:r>
      <w:r w:rsidR="00773BF1">
        <w:t xml:space="preserve">either </w:t>
      </w:r>
      <w:r w:rsidR="00105301">
        <w:t xml:space="preserve">a </w:t>
      </w:r>
      <w:r w:rsidR="00773BF1">
        <w:t xml:space="preserve">positive or negative </w:t>
      </w:r>
      <w:r w:rsidR="00105301">
        <w:t>role model. The pedagogic goal appears to be that the student</w:t>
      </w:r>
      <w:r w:rsidR="003D5DDC">
        <w:t xml:space="preserve"> addressed by </w:t>
      </w:r>
      <w:r w:rsidR="00FD78BE">
        <w:t>the book</w:t>
      </w:r>
      <w:r w:rsidR="00105301">
        <w:t xml:space="preserve"> </w:t>
      </w:r>
      <w:r w:rsidR="00105301" w:rsidRPr="00FD78BE">
        <w:t xml:space="preserve">identify with </w:t>
      </w:r>
      <w:r w:rsidR="00105301">
        <w:t>such figures</w:t>
      </w:r>
      <w:r w:rsidR="00773BF1">
        <w:t xml:space="preserve">, </w:t>
      </w:r>
      <w:r w:rsidR="00105301">
        <w:t xml:space="preserve">so </w:t>
      </w:r>
      <w:r w:rsidR="003D5DDC">
        <w:t>as to</w:t>
      </w:r>
      <w:r w:rsidR="00105301">
        <w:t xml:space="preserve"> </w:t>
      </w:r>
      <w:r w:rsidR="00433A8C">
        <w:t>adopt</w:t>
      </w:r>
      <w:r w:rsidR="00105301">
        <w:t xml:space="preserve"> </w:t>
      </w:r>
      <w:r w:rsidR="00EE0291">
        <w:t>the positive</w:t>
      </w:r>
      <w:r w:rsidR="00105301">
        <w:t xml:space="preserve"> role</w:t>
      </w:r>
      <w:r w:rsidR="00EE0291">
        <w:t>s and avoid the negative ones</w:t>
      </w:r>
      <w:r w:rsidR="00105301">
        <w:t xml:space="preserve">. </w:t>
      </w:r>
      <w:r w:rsidR="00C161C0">
        <w:t>In 11</w:t>
      </w:r>
      <w:r w:rsidR="00BF75B3">
        <w:t>.</w:t>
      </w:r>
      <w:r w:rsidR="00C161C0">
        <w:t>17, for example, the Hebrew text concisely</w:t>
      </w:r>
      <w:r w:rsidR="00BF75B3">
        <w:t xml:space="preserve"> and memorably</w:t>
      </w:r>
      <w:r w:rsidR="00C161C0">
        <w:t xml:space="preserve"> </w:t>
      </w:r>
      <w:r w:rsidR="00BF75B3">
        <w:t>teaches that</w:t>
      </w:r>
      <w:r w:rsidR="008E2460">
        <w:t xml:space="preserve"> how </w:t>
      </w:r>
      <w:r w:rsidR="00BF75B3">
        <w:t>we</w:t>
      </w:r>
      <w:r w:rsidR="008E2460">
        <w:t xml:space="preserve"> treat others ultimately redounds to ourselves</w:t>
      </w:r>
      <w:r w:rsidR="00C161C0">
        <w:t>:</w:t>
      </w:r>
    </w:p>
    <w:p w14:paraId="39317BB3" w14:textId="2A42AEC5" w:rsidR="00C161C0" w:rsidRPr="001A6E52" w:rsidRDefault="00C161C0" w:rsidP="00C161C0">
      <w:pPr>
        <w:pStyle w:val="StandardFL"/>
        <w:spacing w:before="80" w:after="80"/>
        <w:jc w:val="center"/>
        <w:rPr>
          <w:rFonts w:ascii="SBL BibLit" w:hAnsi="SBL BibLit" w:cs="SBL BibLit"/>
          <w:color w:val="000000"/>
          <w:sz w:val="30"/>
          <w:szCs w:val="30"/>
          <w:lang w:bidi="he-IL"/>
        </w:rPr>
      </w:pPr>
      <w:r w:rsidRPr="001A6E52">
        <w:rPr>
          <w:rFonts w:ascii="SBL BibLit" w:hAnsi="SBL BibLit" w:cs="SBL BibLit" w:hint="cs"/>
          <w:color w:val="000000"/>
          <w:sz w:val="30"/>
          <w:szCs w:val="30"/>
          <w:rtl/>
          <w:lang w:bidi="he-IL"/>
        </w:rPr>
        <w:t xml:space="preserve">גֹּמֵל נַפְשׁוֹ </w:t>
      </w:r>
      <w:r w:rsidRPr="00097315">
        <w:rPr>
          <w:rFonts w:ascii="SBL BibLit" w:hAnsi="SBL BibLit" w:cs="SBL BibLit" w:hint="cs"/>
          <w:color w:val="000000"/>
          <w:sz w:val="30"/>
          <w:szCs w:val="30"/>
          <w:highlight w:val="lightGray"/>
          <w:rtl/>
          <w:lang w:bidi="he-IL"/>
        </w:rPr>
        <w:t>א</w:t>
      </w:r>
      <w:r w:rsidRPr="00A75CD5">
        <w:rPr>
          <w:rFonts w:ascii="SBL BibLit" w:hAnsi="SBL BibLit" w:cs="SBL BibLit" w:hint="cs"/>
          <w:color w:val="000000"/>
          <w:sz w:val="30"/>
          <w:szCs w:val="30"/>
          <w:highlight w:val="lightGray"/>
          <w:rtl/>
          <w:lang w:bidi="he-IL"/>
        </w:rPr>
        <w:t>ִ</w:t>
      </w:r>
      <w:r w:rsidRPr="001A6E52">
        <w:rPr>
          <w:rFonts w:ascii="SBL BibLit" w:hAnsi="SBL BibLit" w:cs="SBL BibLit" w:hint="cs"/>
          <w:color w:val="000000"/>
          <w:sz w:val="30"/>
          <w:szCs w:val="30"/>
          <w:highlight w:val="lightGray"/>
          <w:rtl/>
          <w:lang w:bidi="he-IL"/>
        </w:rPr>
        <w:t>ישׁ חָסֶד</w:t>
      </w:r>
      <w:r w:rsidRPr="001A6E52">
        <w:rPr>
          <w:rFonts w:ascii="SBL BibLit" w:hAnsi="SBL BibLit" w:cs="SBL BibLit" w:hint="cs"/>
          <w:color w:val="000000"/>
          <w:sz w:val="30"/>
          <w:szCs w:val="30"/>
          <w:rtl/>
          <w:lang w:bidi="he-IL"/>
        </w:rPr>
        <w:t xml:space="preserve"> וְעֹכֵר שְׁאֵרוֹ אַכְזָרִי׃</w:t>
      </w:r>
    </w:p>
    <w:p w14:paraId="21A63C9C" w14:textId="77777777" w:rsidR="00C161C0" w:rsidRPr="00097315" w:rsidRDefault="00C161C0" w:rsidP="00C161C0">
      <w:pPr>
        <w:pStyle w:val="Standard1218justified"/>
        <w:spacing w:before="120" w:after="120"/>
        <w:ind w:firstLine="0"/>
        <w:jc w:val="center"/>
        <w:rPr>
          <w:sz w:val="22"/>
          <w:szCs w:val="22"/>
        </w:rPr>
      </w:pPr>
      <w:r w:rsidRPr="00097315">
        <w:rPr>
          <w:sz w:val="22"/>
          <w:szCs w:val="22"/>
        </w:rPr>
        <w:t xml:space="preserve">A </w:t>
      </w:r>
      <w:r w:rsidRPr="00DB307E">
        <w:rPr>
          <w:sz w:val="22"/>
          <w:szCs w:val="22"/>
          <w:u w:val="single" w:color="A6A6A6" w:themeColor="background1" w:themeShade="A6"/>
        </w:rPr>
        <w:t>kindly man</w:t>
      </w:r>
      <w:r w:rsidRPr="00097315">
        <w:rPr>
          <w:sz w:val="22"/>
          <w:szCs w:val="22"/>
        </w:rPr>
        <w:t xml:space="preserve"> benefits himself; / A cruel one makes trouble for himself.</w:t>
      </w:r>
    </w:p>
    <w:p w14:paraId="349B8ED2" w14:textId="4FA30B51" w:rsidR="00165407" w:rsidRDefault="00BF75B3" w:rsidP="00097315">
      <w:pPr>
        <w:pStyle w:val="StandardFL"/>
      </w:pPr>
      <w:r>
        <w:t xml:space="preserve">How </w:t>
      </w:r>
      <w:r w:rsidR="00C65708">
        <w:t>the</w:t>
      </w:r>
      <w:r>
        <w:t xml:space="preserve"> point is m</w:t>
      </w:r>
      <w:r w:rsidR="00BF13D2">
        <w:t xml:space="preserve">ade is inseparable from the message itself. </w:t>
      </w:r>
      <w:r w:rsidR="00FF6ADD">
        <w:t>As usual, t</w:t>
      </w:r>
      <w:r w:rsidR="00165407">
        <w:t xml:space="preserve">he label </w:t>
      </w:r>
      <w:r w:rsidR="00A75CD5" w:rsidRPr="00FD78BE">
        <w:rPr>
          <w:rFonts w:hAnsi="SBL BibLit" w:cs="SBL BibLit"/>
          <w:rtl/>
          <w:lang w:bidi="he-IL"/>
        </w:rPr>
        <w:t>אִישׁ</w:t>
      </w:r>
      <w:r w:rsidR="00A75CD5">
        <w:t xml:space="preserve"> </w:t>
      </w:r>
      <w:r w:rsidR="00165407">
        <w:t>signals that its referent is an essential participant for grasping the depicted situa</w:t>
      </w:r>
      <w:r w:rsidR="00165407">
        <w:softHyphen/>
        <w:t>tion</w:t>
      </w:r>
      <w:r w:rsidR="00BF13D2">
        <w:t>. Indeed,</w:t>
      </w:r>
      <w:r w:rsidR="00165407">
        <w:t xml:space="preserve"> this </w:t>
      </w:r>
      <w:r w:rsidR="008E2460">
        <w:t>party</w:t>
      </w:r>
      <w:r w:rsidR="00165407">
        <w:t xml:space="preserve"> is</w:t>
      </w:r>
      <w:r w:rsidR="00165407" w:rsidRPr="00C65708">
        <w:t xml:space="preserve"> the key </w:t>
      </w:r>
      <w:r w:rsidR="00165407">
        <w:t xml:space="preserve">to </w:t>
      </w:r>
      <w:r w:rsidR="00FF7A0B">
        <w:t>its</w:t>
      </w:r>
      <w:r w:rsidR="00165407">
        <w:t xml:space="preserve"> </w:t>
      </w:r>
      <w:r w:rsidR="00A75CD5">
        <w:t>possibilities</w:t>
      </w:r>
      <w:r w:rsidR="00165407">
        <w:t xml:space="preserve">, while the contrasting </w:t>
      </w:r>
      <w:r w:rsidR="00A75CD5">
        <w:t>option</w:t>
      </w:r>
      <w:r w:rsidR="00165407" w:rsidRPr="00165407">
        <w:t xml:space="preserve"> </w:t>
      </w:r>
      <w:r w:rsidR="00165407">
        <w:t>is mean</w:t>
      </w:r>
      <w:r w:rsidR="00165407">
        <w:softHyphen/>
        <w:t xml:space="preserve">while treated </w:t>
      </w:r>
      <w:r w:rsidR="00165407" w:rsidRPr="00C65708">
        <w:t>as a given</w:t>
      </w:r>
      <w:r w:rsidR="00165407">
        <w:t xml:space="preserve"> by being labeled without </w:t>
      </w:r>
      <w:r w:rsidR="00A75CD5" w:rsidRPr="00FD78BE">
        <w:rPr>
          <w:rFonts w:hAnsi="SBL BibLit" w:cs="SBL BibLit"/>
          <w:rtl/>
          <w:lang w:bidi="he-IL"/>
        </w:rPr>
        <w:t>אִישׁ</w:t>
      </w:r>
      <w:r w:rsidR="00165407">
        <w:t>.</w:t>
      </w:r>
      <w:r w:rsidR="00A75CD5">
        <w:t xml:space="preserve"> This differential usage of </w:t>
      </w:r>
      <w:r w:rsidR="00A75CD5" w:rsidRPr="00FD78BE">
        <w:rPr>
          <w:rFonts w:hAnsi="SBL BibLit" w:cs="SBL BibLit"/>
          <w:rtl/>
          <w:lang w:bidi="he-IL"/>
        </w:rPr>
        <w:t>אִישׁ</w:t>
      </w:r>
      <w:r w:rsidR="00A75CD5">
        <w:t xml:space="preserve"> </w:t>
      </w:r>
      <w:r w:rsidR="00C65708">
        <w:t>spotlights</w:t>
      </w:r>
      <w:r w:rsidR="00A75CD5">
        <w:t xml:space="preserve"> the</w:t>
      </w:r>
      <w:r w:rsidR="00F038DE">
        <w:t xml:space="preserve"> positive </w:t>
      </w:r>
      <w:r w:rsidR="003D5DDC">
        <w:t>pole in the contrast</w:t>
      </w:r>
      <w:r w:rsidR="00F038DE">
        <w:t>, while</w:t>
      </w:r>
      <w:r w:rsidR="004511C6">
        <w:t xml:space="preserve"> the proverb’s formulation in the </w:t>
      </w:r>
      <w:r w:rsidR="00C65708">
        <w:t xml:space="preserve">grammatical </w:t>
      </w:r>
      <w:r w:rsidR="004511C6">
        <w:t>singular</w:t>
      </w:r>
      <w:r w:rsidR="00F038DE">
        <w:t xml:space="preserve"> </w:t>
      </w:r>
      <w:proofErr w:type="gramStart"/>
      <w:r w:rsidR="00F038DE">
        <w:t>focuses</w:t>
      </w:r>
      <w:proofErr w:type="gramEnd"/>
      <w:r w:rsidR="00F038DE">
        <w:t xml:space="preserve"> attention on the individual’s own behavior</w:t>
      </w:r>
      <w:r w:rsidR="004511C6">
        <w:t>.</w:t>
      </w:r>
    </w:p>
    <w:p w14:paraId="52D84F8C" w14:textId="50E26300" w:rsidR="00165407" w:rsidRDefault="004511C6" w:rsidP="00ED72BB">
      <w:pPr>
        <w:pStyle w:val="Standard1218justified"/>
      </w:pPr>
      <w:r>
        <w:t>Although</w:t>
      </w:r>
      <w:r w:rsidR="00477573">
        <w:t xml:space="preserve"> the</w:t>
      </w:r>
      <w:r w:rsidR="00F038DE">
        <w:t xml:space="preserve"> verse’s</w:t>
      </w:r>
      <w:r w:rsidR="00477573">
        <w:t xml:space="preserve"> Hebrew wording is not gender-restricted per se, and although</w:t>
      </w:r>
      <w:r>
        <w:t xml:space="preserve"> </w:t>
      </w:r>
      <w:r w:rsidR="00F038DE">
        <w:t>its</w:t>
      </w:r>
      <w:r>
        <w:t xml:space="preserve"> </w:t>
      </w:r>
      <w:r w:rsidR="00971690">
        <w:t xml:space="preserve">moral </w:t>
      </w:r>
      <w:r>
        <w:t>point applies regardless of gender</w:t>
      </w:r>
      <w:r w:rsidR="00477573">
        <w:t xml:space="preserve">, </w:t>
      </w:r>
      <w:r w:rsidR="003D5DDC">
        <w:t xml:space="preserve">in English </w:t>
      </w:r>
      <w:r w:rsidR="00477573">
        <w:t>it</w:t>
      </w:r>
      <w:r w:rsidR="00C65708">
        <w:t>s message</w:t>
      </w:r>
      <w:r w:rsidR="00477573">
        <w:t xml:space="preserve"> </w:t>
      </w:r>
      <w:r w:rsidR="007B65E5">
        <w:t>does not seem to</w:t>
      </w:r>
      <w:r w:rsidR="00477573">
        <w:t xml:space="preserve"> be express</w:t>
      </w:r>
      <w:r w:rsidR="007B65E5">
        <w:t>ible</w:t>
      </w:r>
      <w:r w:rsidR="00477573">
        <w:t xml:space="preserve"> in gender-neutral terms </w:t>
      </w:r>
      <w:r w:rsidR="00BF75B3">
        <w:t>while</w:t>
      </w:r>
      <w:r w:rsidR="007B65E5">
        <w:t xml:space="preserve"> still</w:t>
      </w:r>
      <w:r w:rsidR="00BF75B3">
        <w:t xml:space="preserve"> retaining</w:t>
      </w:r>
      <w:r w:rsidR="007B65E5">
        <w:t xml:space="preserve"> both the situational hinge and</w:t>
      </w:r>
      <w:r w:rsidR="00971690">
        <w:t xml:space="preserve"> the focus on the individual</w:t>
      </w:r>
      <w:r w:rsidR="00FF7A0B">
        <w:t xml:space="preserve"> actor</w:t>
      </w:r>
      <w:r w:rsidR="007F1CE6">
        <w:t>.</w:t>
      </w:r>
      <w:r w:rsidR="00C161C0">
        <w:t xml:space="preserve"> </w:t>
      </w:r>
      <w:r w:rsidR="00FF7A0B">
        <w:t>Those vital aspects of meaning are</w:t>
      </w:r>
      <w:r w:rsidR="00C65708">
        <w:t>, however,</w:t>
      </w:r>
      <w:r w:rsidR="00FF7A0B">
        <w:t xml:space="preserve"> preserved by r</w:t>
      </w:r>
      <w:r w:rsidR="00C161C0">
        <w:t>ender</w:t>
      </w:r>
      <w:r w:rsidR="007F1CE6">
        <w:t>ing</w:t>
      </w:r>
      <w:r w:rsidR="00C161C0">
        <w:t xml:space="preserve"> </w:t>
      </w:r>
      <w:r w:rsidR="00FF7A0B">
        <w:t>this</w:t>
      </w:r>
      <w:r w:rsidR="00C161C0">
        <w:t xml:space="preserve"> case in terms of </w:t>
      </w:r>
      <w:r w:rsidR="00C161C0" w:rsidRPr="00097315">
        <w:rPr>
          <w:i/>
          <w:iCs/>
        </w:rPr>
        <w:t>man</w:t>
      </w:r>
      <w:r w:rsidR="00FF7A0B">
        <w:t xml:space="preserve"> and </w:t>
      </w:r>
      <w:r w:rsidR="00FF7A0B" w:rsidRPr="00097315">
        <w:rPr>
          <w:i/>
          <w:iCs/>
        </w:rPr>
        <w:t>himself</w:t>
      </w:r>
      <w:r w:rsidR="00BF75B3">
        <w:t xml:space="preserve">. </w:t>
      </w:r>
      <w:r w:rsidR="00C65708">
        <w:t>For RJPS, s</w:t>
      </w:r>
      <w:r w:rsidR="009F6100">
        <w:t>uch gendering is</w:t>
      </w:r>
      <w:r w:rsidR="00BF75B3">
        <w:t xml:space="preserve"> deemed acceptable</w:t>
      </w:r>
      <w:r w:rsidR="007B65E5">
        <w:t xml:space="preserve"> </w:t>
      </w:r>
      <w:r w:rsidR="009F6100">
        <w:t>when translating</w:t>
      </w:r>
      <w:r w:rsidR="007B65E5">
        <w:t xml:space="preserve"> Proverbs</w:t>
      </w:r>
      <w:r w:rsidR="00C65708">
        <w:t>, given</w:t>
      </w:r>
      <w:r w:rsidR="00C161C0" w:rsidRPr="00B7136C">
        <w:t xml:space="preserve"> the</w:t>
      </w:r>
      <w:r w:rsidR="00FF7A0B">
        <w:t xml:space="preserve"> book’s</w:t>
      </w:r>
      <w:r w:rsidR="00C161C0" w:rsidRPr="00B7136C">
        <w:t xml:space="preserve"> male-centered </w:t>
      </w:r>
      <w:r w:rsidR="00C161C0">
        <w:t>nature.</w:t>
      </w:r>
      <w:r w:rsidR="003D5DDC">
        <w:rPr>
          <w:rStyle w:val="FootnoteReference"/>
        </w:rPr>
        <w:footnoteReference w:id="40"/>
      </w:r>
      <w:r w:rsidR="00C161C0">
        <w:t xml:space="preserve"> </w:t>
      </w:r>
    </w:p>
    <w:p w14:paraId="5E2BAD9C" w14:textId="77777777" w:rsidR="000E512B" w:rsidRPr="00B45606" w:rsidRDefault="000E512B" w:rsidP="000E512B">
      <w:pPr>
        <w:pBdr>
          <w:top w:val="nil"/>
          <w:left w:val="nil"/>
          <w:bottom w:val="nil"/>
          <w:right w:val="nil"/>
          <w:between w:val="nil"/>
        </w:pBdr>
        <w:rPr>
          <w:rFonts w:asciiTheme="majorBidi" w:hAnsiTheme="majorBidi" w:cstheme="majorBidi"/>
          <w:color w:val="000000"/>
          <w:szCs w:val="24"/>
        </w:rPr>
      </w:pPr>
    </w:p>
    <w:p w14:paraId="2BDDF59D" w14:textId="77777777" w:rsidR="002023AE" w:rsidRDefault="002023AE" w:rsidP="002023AE">
      <w:pPr>
        <w:pStyle w:val="Heading3"/>
      </w:pPr>
      <w:r>
        <w:t>Terms Regarding Women</w:t>
      </w:r>
    </w:p>
    <w:p w14:paraId="13D5F400" w14:textId="7125A97E" w:rsidR="00ED77CF" w:rsidRDefault="002023AE" w:rsidP="002023AE">
      <w:pPr>
        <w:pStyle w:val="StandardFL"/>
      </w:pPr>
      <w:r>
        <w:t xml:space="preserve">Gender accuracy involves assessing not only masculine language, but also how fairly the explicitly feminine labels and concerns are rendered. Such a review has led to a variety of revisions. </w:t>
      </w:r>
      <w:r w:rsidR="002903C2">
        <w:t xml:space="preserve">To give </w:t>
      </w:r>
      <w:r w:rsidR="00ED77CF">
        <w:t>five</w:t>
      </w:r>
      <w:r w:rsidRPr="00B45606">
        <w:t xml:space="preserve"> </w:t>
      </w:r>
      <w:r w:rsidR="005246FF">
        <w:t xml:space="preserve">disparate </w:t>
      </w:r>
      <w:r w:rsidRPr="00B45606">
        <w:t>example</w:t>
      </w:r>
      <w:r w:rsidR="002903C2">
        <w:t xml:space="preserve">s: </w:t>
      </w:r>
    </w:p>
    <w:p w14:paraId="261F27AE" w14:textId="3900363C" w:rsidR="00704B9B" w:rsidRDefault="005246FF" w:rsidP="00682966">
      <w:pPr>
        <w:pStyle w:val="StandardFL"/>
        <w:ind w:left="180" w:hanging="180"/>
        <w:rPr>
          <w:lang w:bidi="he-IL"/>
        </w:rPr>
      </w:pPr>
      <w:r>
        <w:t>•</w:t>
      </w:r>
      <w:r>
        <w:tab/>
      </w:r>
      <w:r w:rsidR="001C54A3">
        <w:t xml:space="preserve">When </w:t>
      </w:r>
      <w:r w:rsidR="001C54A3">
        <w:rPr>
          <w:smallCaps/>
        </w:rPr>
        <w:t>God</w:t>
      </w:r>
      <w:r w:rsidR="001C54A3">
        <w:rPr>
          <w:rFonts w:hint="cs"/>
          <w:smallCaps/>
          <w:rtl/>
          <w:lang w:bidi="he-IL"/>
        </w:rPr>
        <w:t xml:space="preserve"> </w:t>
      </w:r>
      <w:r w:rsidR="00704B9B">
        <w:rPr>
          <w:lang w:bidi="he-IL"/>
        </w:rPr>
        <w:t>specifies the</w:t>
      </w:r>
      <w:r w:rsidR="001C54A3">
        <w:rPr>
          <w:lang w:bidi="he-IL"/>
        </w:rPr>
        <w:t xml:space="preserve"> consequences of the first woman’s having eaten the forbidden fruit</w:t>
      </w:r>
      <w:r w:rsidR="00704B9B">
        <w:rPr>
          <w:lang w:bidi="he-IL"/>
        </w:rPr>
        <w:t xml:space="preserve"> (Gen. 3.16)</w:t>
      </w:r>
      <w:r w:rsidR="001C54A3">
        <w:rPr>
          <w:lang w:bidi="he-IL"/>
        </w:rPr>
        <w:t xml:space="preserve">, </w:t>
      </w:r>
      <w:r w:rsidR="00682966">
        <w:rPr>
          <w:lang w:bidi="he-IL"/>
        </w:rPr>
        <w:t>she</w:t>
      </w:r>
      <w:r w:rsidR="00704B9B">
        <w:rPr>
          <w:lang w:bidi="he-IL"/>
        </w:rPr>
        <w:t xml:space="preserve"> is no </w:t>
      </w:r>
      <w:r w:rsidR="00682966">
        <w:rPr>
          <w:lang w:bidi="he-IL"/>
        </w:rPr>
        <w:t>singled out for future suffering</w:t>
      </w:r>
      <w:r w:rsidR="00337F3E">
        <w:rPr>
          <w:lang w:bidi="he-IL"/>
        </w:rPr>
        <w:t>; rather, both of the guilty parties are destined for lifetimes of intense work. Hence</w:t>
      </w:r>
      <w:r w:rsidR="00682966">
        <w:rPr>
          <w:lang w:bidi="he-IL"/>
        </w:rPr>
        <w:t xml:space="preserve"> “</w:t>
      </w:r>
      <w:r w:rsidR="00337F3E">
        <w:rPr>
          <w:lang w:bidi="he-IL"/>
        </w:rPr>
        <w:t xml:space="preserve">I will make most severe / Your pangs in childbearing; / In pain shall you bear children” is </w:t>
      </w:r>
      <w:r w:rsidR="000E192B">
        <w:rPr>
          <w:lang w:bidi="he-IL"/>
        </w:rPr>
        <w:t>replace</w:t>
      </w:r>
      <w:r w:rsidR="00337F3E">
        <w:rPr>
          <w:lang w:bidi="he-IL"/>
        </w:rPr>
        <w:t>d by</w:t>
      </w:r>
      <w:r w:rsidR="000E192B">
        <w:rPr>
          <w:lang w:bidi="he-IL"/>
        </w:rPr>
        <w:t xml:space="preserve"> “</w:t>
      </w:r>
      <w:r w:rsidR="00337F3E">
        <w:rPr>
          <w:lang w:bidi="he-IL"/>
        </w:rPr>
        <w:t>I will greatly expand / Your hard labor—and your pregnancies; / In hardship shall you bear children</w:t>
      </w:r>
      <w:r w:rsidR="00704B9B">
        <w:rPr>
          <w:lang w:bidi="he-IL"/>
        </w:rPr>
        <w:t>.</w:t>
      </w:r>
      <w:r w:rsidR="000E192B">
        <w:rPr>
          <w:lang w:bidi="he-IL"/>
        </w:rPr>
        <w:t>”</w:t>
      </w:r>
      <w:r w:rsidR="00704B9B">
        <w:rPr>
          <w:lang w:bidi="he-IL"/>
        </w:rPr>
        <w:t xml:space="preserve"> </w:t>
      </w:r>
    </w:p>
    <w:p w14:paraId="6E9093AC" w14:textId="2F4FB458" w:rsidR="00ED77CF" w:rsidRDefault="005246FF" w:rsidP="005246FF">
      <w:pPr>
        <w:pStyle w:val="StandardFL"/>
        <w:ind w:left="180" w:hanging="180"/>
      </w:pPr>
      <w:r>
        <w:t>•</w:t>
      </w:r>
      <w:r>
        <w:tab/>
      </w:r>
      <w:r w:rsidR="002903C2">
        <w:t>I</w:t>
      </w:r>
      <w:r w:rsidR="002023AE" w:rsidRPr="00B45606">
        <w:t xml:space="preserve">n accord with contemporary idiom, the NJPS labeling of a </w:t>
      </w:r>
      <w:r w:rsidR="0022239A">
        <w:t xml:space="preserve">young </w:t>
      </w:r>
      <w:r w:rsidR="002023AE" w:rsidRPr="00B45606">
        <w:t xml:space="preserve">woman as </w:t>
      </w:r>
      <w:r w:rsidR="002023AE">
        <w:t>“</w:t>
      </w:r>
      <w:r w:rsidR="002023AE" w:rsidRPr="00B45606">
        <w:t>girl</w:t>
      </w:r>
      <w:r w:rsidR="002023AE">
        <w:t>”</w:t>
      </w:r>
      <w:r w:rsidR="002023AE" w:rsidRPr="00B45606">
        <w:t xml:space="preserve"> is now restricted to informal direct speech</w:t>
      </w:r>
      <w:r w:rsidR="002023AE">
        <w:t xml:space="preserve">, in order to avoid </w:t>
      </w:r>
      <w:r w:rsidR="0022239A">
        <w:t>its</w:t>
      </w:r>
      <w:r w:rsidR="002023AE">
        <w:t xml:space="preserve"> dismissive connotation and the implication that children were expected to engage in sexual relations.</w:t>
      </w:r>
      <w:r w:rsidR="002023AE" w:rsidRPr="00B45606">
        <w:t xml:space="preserve"> </w:t>
      </w:r>
    </w:p>
    <w:p w14:paraId="3DAA0DC3" w14:textId="4B168084" w:rsidR="00704B9B" w:rsidRPr="00C74A7E" w:rsidRDefault="005246FF" w:rsidP="005246FF">
      <w:pPr>
        <w:pStyle w:val="StandardFL"/>
        <w:ind w:left="180" w:hanging="180"/>
      </w:pPr>
      <w:r>
        <w:t>•</w:t>
      </w:r>
      <w:r>
        <w:tab/>
      </w:r>
      <w:r w:rsidR="00704B9B">
        <w:t xml:space="preserve">For </w:t>
      </w:r>
      <w:r w:rsidRPr="005246FF">
        <w:rPr>
          <w:rFonts w:ascii="SBL BibLit" w:hAnsi="SBL BibLit" w:cs="SBL BibLit" w:hint="cs"/>
          <w:color w:val="000000"/>
          <w:rtl/>
        </w:rPr>
        <w:t>תֹּף</w:t>
      </w:r>
      <w:r w:rsidR="00704B9B">
        <w:t xml:space="preserve"> </w:t>
      </w:r>
      <w:proofErr w:type="spellStart"/>
      <w:r w:rsidR="00C74A7E">
        <w:rPr>
          <w:i/>
          <w:iCs/>
        </w:rPr>
        <w:t>ṭoph</w:t>
      </w:r>
      <w:proofErr w:type="spellEnd"/>
      <w:r w:rsidR="00C74A7E">
        <w:t xml:space="preserve"> (e.g., Exod. 15.20</w:t>
      </w:r>
      <w:r>
        <w:t xml:space="preserve">; </w:t>
      </w:r>
      <w:r w:rsidRPr="005246FF">
        <w:t>Jer. 31.4</w:t>
      </w:r>
      <w:r w:rsidR="00C74A7E">
        <w:t>), “</w:t>
      </w:r>
      <w:r w:rsidR="00C74A7E" w:rsidRPr="00C74A7E">
        <w:t>hand-drum</w:t>
      </w:r>
      <w:r w:rsidR="00C74A7E">
        <w:t>” replace</w:t>
      </w:r>
      <w:r w:rsidR="006228CB">
        <w:t>s</w:t>
      </w:r>
      <w:r w:rsidR="00C74A7E">
        <w:t xml:space="preserve"> the ambiguous “timbrel,” to make </w:t>
      </w:r>
      <w:r>
        <w:t xml:space="preserve">it </w:t>
      </w:r>
      <w:r w:rsidR="00C74A7E">
        <w:t>clearer that women, a</w:t>
      </w:r>
      <w:r w:rsidR="00C74A7E" w:rsidRPr="00C74A7E">
        <w:t xml:space="preserve">s drummers, </w:t>
      </w:r>
      <w:r w:rsidR="00C74A7E">
        <w:t xml:space="preserve">were </w:t>
      </w:r>
      <w:r w:rsidR="00C74A7E" w:rsidRPr="00C74A7E">
        <w:t>set</w:t>
      </w:r>
      <w:r w:rsidR="00C74A7E">
        <w:t>ting</w:t>
      </w:r>
      <w:r w:rsidR="00C74A7E" w:rsidRPr="00C74A7E">
        <w:t xml:space="preserve"> the tempo during Israel's public celebrations</w:t>
      </w:r>
      <w:r w:rsidR="00C74A7E">
        <w:t>.</w:t>
      </w:r>
      <w:r w:rsidR="00E375BF">
        <w:rPr>
          <w:rStyle w:val="FootnoteReference"/>
        </w:rPr>
        <w:footnoteReference w:id="41"/>
      </w:r>
    </w:p>
    <w:p w14:paraId="6B200257" w14:textId="670B7600" w:rsidR="005246FF" w:rsidRDefault="005246FF" w:rsidP="005246FF">
      <w:pPr>
        <w:pStyle w:val="StandardFL"/>
        <w:ind w:left="180" w:hanging="180"/>
      </w:pPr>
      <w:r>
        <w:t>•</w:t>
      </w:r>
      <w:r>
        <w:tab/>
      </w:r>
      <w:r w:rsidR="00ED77CF">
        <w:t>F</w:t>
      </w:r>
      <w:r w:rsidR="002023AE">
        <w:t xml:space="preserve">or </w:t>
      </w:r>
      <w:proofErr w:type="spellStart"/>
      <w:r w:rsidR="002023AE" w:rsidRPr="00A00329">
        <w:rPr>
          <w:rFonts w:ascii="SBL BibLit" w:hAnsi="SBL BibLit" w:cs="SBL BibLit" w:hint="cs"/>
          <w:color w:val="000000"/>
          <w:rtl/>
        </w:rPr>
        <w:t>אִש</w:t>
      </w:r>
      <w:proofErr w:type="spellEnd"/>
      <w:r w:rsidR="002023AE" w:rsidRPr="00A00329">
        <w:rPr>
          <w:rFonts w:ascii="SBL BibLit" w:hAnsi="SBL BibLit" w:cs="SBL BibLit" w:hint="cs"/>
          <w:color w:val="000000"/>
          <w:rtl/>
        </w:rPr>
        <w:t xml:space="preserve">ָּׁה </w:t>
      </w:r>
      <w:proofErr w:type="spellStart"/>
      <w:r w:rsidR="002023AE" w:rsidRPr="00A00329">
        <w:rPr>
          <w:rFonts w:ascii="SBL BibLit" w:hAnsi="SBL BibLit" w:cs="SBL BibLit" w:hint="cs"/>
          <w:color w:val="000000"/>
          <w:rtl/>
        </w:rPr>
        <w:t>חֲכָמָה</w:t>
      </w:r>
      <w:proofErr w:type="spellEnd"/>
      <w:r w:rsidR="002023AE">
        <w:t xml:space="preserve"> </w:t>
      </w:r>
      <w:r w:rsidR="002023AE">
        <w:rPr>
          <w:i/>
          <w:iCs/>
        </w:rPr>
        <w:t>’</w:t>
      </w:r>
      <w:proofErr w:type="spellStart"/>
      <w:r w:rsidR="002023AE">
        <w:rPr>
          <w:i/>
          <w:iCs/>
        </w:rPr>
        <w:t>ishshah</w:t>
      </w:r>
      <w:proofErr w:type="spellEnd"/>
      <w:r w:rsidR="002023AE">
        <w:rPr>
          <w:i/>
          <w:iCs/>
        </w:rPr>
        <w:t xml:space="preserve"> </w:t>
      </w:r>
      <w:proofErr w:type="spellStart"/>
      <w:r w:rsidR="002023AE">
        <w:rPr>
          <w:i/>
          <w:iCs/>
        </w:rPr>
        <w:t>ḥakhamah</w:t>
      </w:r>
      <w:proofErr w:type="spellEnd"/>
      <w:r w:rsidR="00950DAC">
        <w:rPr>
          <w:i/>
          <w:iCs/>
        </w:rPr>
        <w:t xml:space="preserve"> </w:t>
      </w:r>
      <w:r w:rsidR="00950DAC">
        <w:t>(2 Sam. 14.2; 20.16)</w:t>
      </w:r>
      <w:r w:rsidR="002023AE">
        <w:t>, the expression “a woman who was wise” replace</w:t>
      </w:r>
      <w:r w:rsidR="006228CB">
        <w:t>s</w:t>
      </w:r>
      <w:r w:rsidR="002023AE">
        <w:t xml:space="preserve"> “a clever woman</w:t>
      </w:r>
      <w:r w:rsidR="00950DAC">
        <w:t>,</w:t>
      </w:r>
      <w:r w:rsidR="002023AE">
        <w:t xml:space="preserve">” to avoid the negative connotations of </w:t>
      </w:r>
      <w:r w:rsidR="002023AE">
        <w:rPr>
          <w:i/>
          <w:iCs/>
        </w:rPr>
        <w:t>clever</w:t>
      </w:r>
      <w:r w:rsidR="002023AE">
        <w:t>.</w:t>
      </w:r>
    </w:p>
    <w:p w14:paraId="7D24459F" w14:textId="15C96B24" w:rsidR="002023AE" w:rsidRPr="008817AB" w:rsidRDefault="005246FF" w:rsidP="005246FF">
      <w:pPr>
        <w:pStyle w:val="StandardFL"/>
        <w:ind w:left="180" w:hanging="180"/>
      </w:pPr>
      <w:r>
        <w:t>•</w:t>
      </w:r>
      <w:r>
        <w:tab/>
      </w:r>
      <w:r w:rsidR="00ED77CF">
        <w:t>F</w:t>
      </w:r>
      <w:r w:rsidR="002023AE">
        <w:t xml:space="preserve">or </w:t>
      </w:r>
      <w:proofErr w:type="spellStart"/>
      <w:r w:rsidR="002023AE" w:rsidRPr="00A00329">
        <w:rPr>
          <w:rFonts w:ascii="SBL BibLit" w:hAnsi="SBL BibLit" w:cs="SBL BibLit" w:hint="cs"/>
          <w:color w:val="000000"/>
          <w:rtl/>
        </w:rPr>
        <w:t>אֵש</w:t>
      </w:r>
      <w:proofErr w:type="spellEnd"/>
      <w:r w:rsidR="002023AE" w:rsidRPr="00A00329">
        <w:rPr>
          <w:rFonts w:ascii="SBL BibLit" w:hAnsi="SBL BibLit" w:cs="SBL BibLit" w:hint="cs"/>
          <w:color w:val="000000"/>
          <w:rtl/>
        </w:rPr>
        <w:t>ֶׁ</w:t>
      </w:r>
      <w:proofErr w:type="spellStart"/>
      <w:r w:rsidR="002023AE" w:rsidRPr="00A00329">
        <w:rPr>
          <w:rFonts w:ascii="SBL BibLit" w:hAnsi="SBL BibLit" w:cs="SBL BibLit" w:hint="cs"/>
          <w:color w:val="000000"/>
          <w:rtl/>
        </w:rPr>
        <w:t>ת־חַיִל</w:t>
      </w:r>
      <w:proofErr w:type="spellEnd"/>
      <w:r w:rsidR="002023AE">
        <w:t xml:space="preserve"> </w:t>
      </w:r>
      <w:r w:rsidR="002023AE">
        <w:rPr>
          <w:i/>
          <w:iCs/>
        </w:rPr>
        <w:t>’</w:t>
      </w:r>
      <w:proofErr w:type="spellStart"/>
      <w:r w:rsidR="002023AE">
        <w:rPr>
          <w:i/>
          <w:iCs/>
        </w:rPr>
        <w:t>esheth</w:t>
      </w:r>
      <w:proofErr w:type="spellEnd"/>
      <w:r w:rsidR="002023AE">
        <w:rPr>
          <w:i/>
          <w:iCs/>
        </w:rPr>
        <w:t xml:space="preserve"> </w:t>
      </w:r>
      <w:proofErr w:type="spellStart"/>
      <w:r w:rsidR="002023AE">
        <w:rPr>
          <w:i/>
          <w:iCs/>
        </w:rPr>
        <w:t>ḥayil</w:t>
      </w:r>
      <w:proofErr w:type="spellEnd"/>
      <w:r w:rsidR="00950DAC">
        <w:t xml:space="preserve"> (Prov. 12.4; 31.10)</w:t>
      </w:r>
      <w:r w:rsidR="002023AE">
        <w:t>, the rendering “</w:t>
      </w:r>
      <w:r w:rsidR="002023AE" w:rsidRPr="00EA2C3E">
        <w:t>capable wife</w:t>
      </w:r>
      <w:r w:rsidR="002023AE">
        <w:t>” is replaced by “woman of substance</w:t>
      </w:r>
      <w:r w:rsidR="00950DAC">
        <w:t>,</w:t>
      </w:r>
      <w:r w:rsidR="002023AE">
        <w:t xml:space="preserve">” </w:t>
      </w:r>
      <w:r w:rsidR="003137BC">
        <w:t>reflecting the</w:t>
      </w:r>
      <w:r w:rsidR="002023AE">
        <w:t xml:space="preserve"> </w:t>
      </w:r>
      <w:r w:rsidR="006E3D3D">
        <w:t>typical</w:t>
      </w:r>
      <w:r w:rsidR="002023AE">
        <w:t xml:space="preserve"> use of </w:t>
      </w:r>
      <w:proofErr w:type="spellStart"/>
      <w:r w:rsidR="002023AE" w:rsidRPr="00A00329">
        <w:rPr>
          <w:rFonts w:ascii="SBL BibLit" w:hAnsi="SBL BibLit" w:cs="SBL BibLit" w:hint="cs"/>
          <w:color w:val="000000"/>
          <w:rtl/>
        </w:rPr>
        <w:t>אִש</w:t>
      </w:r>
      <w:proofErr w:type="spellEnd"/>
      <w:r w:rsidR="002023AE" w:rsidRPr="00A00329">
        <w:rPr>
          <w:rFonts w:ascii="SBL BibLit" w:hAnsi="SBL BibLit" w:cs="SBL BibLit" w:hint="cs"/>
          <w:color w:val="000000"/>
          <w:rtl/>
        </w:rPr>
        <w:t>ָּׁה</w:t>
      </w:r>
      <w:r w:rsidR="002023AE">
        <w:t xml:space="preserve"> </w:t>
      </w:r>
      <w:r w:rsidR="002023AE">
        <w:rPr>
          <w:i/>
          <w:iCs/>
        </w:rPr>
        <w:t>’</w:t>
      </w:r>
      <w:proofErr w:type="spellStart"/>
      <w:r w:rsidR="002023AE">
        <w:rPr>
          <w:i/>
          <w:iCs/>
        </w:rPr>
        <w:t>ishshah</w:t>
      </w:r>
      <w:proofErr w:type="spellEnd"/>
      <w:r w:rsidR="002023AE">
        <w:t xml:space="preserve"> </w:t>
      </w:r>
      <w:r w:rsidR="003137BC">
        <w:t>(</w:t>
      </w:r>
      <w:r w:rsidR="006E3D3D">
        <w:t>as</w:t>
      </w:r>
      <w:r w:rsidR="002023AE">
        <w:t xml:space="preserve"> a situati</w:t>
      </w:r>
      <w:r w:rsidR="006E3D3D">
        <w:t>ng noun</w:t>
      </w:r>
      <w:r w:rsidR="003137BC">
        <w:t>) to introduce a situation-defining quality</w:t>
      </w:r>
      <w:r w:rsidR="002023AE">
        <w:t>.</w:t>
      </w:r>
    </w:p>
    <w:p w14:paraId="738FF0CD" w14:textId="77777777" w:rsidR="002023AE" w:rsidRPr="00D119F0" w:rsidRDefault="002023AE" w:rsidP="002023AE">
      <w:pPr>
        <w:pStyle w:val="Standard1218justified"/>
      </w:pPr>
      <w:r w:rsidRPr="00B45606">
        <w:t>With regard to women’s bodily functions, t</w:t>
      </w:r>
      <w:r>
        <w:t>he present edition employs what is now more normative wording, such as “pregnant” rather than “with child,” and “infertile” rather than “barren.” Similarly, the r</w:t>
      </w:r>
      <w:r w:rsidRPr="003D28A0">
        <w:t>endering</w:t>
      </w:r>
      <w:r>
        <w:t>s</w:t>
      </w:r>
      <w:r w:rsidRPr="003D28A0">
        <w:t xml:space="preserve"> </w:t>
      </w:r>
      <w:r>
        <w:t>of terms for menstruation</w:t>
      </w:r>
      <w:r w:rsidRPr="003D28A0">
        <w:t xml:space="preserve"> </w:t>
      </w:r>
      <w:r>
        <w:t xml:space="preserve">assume an emotionally neutral rather than negative </w:t>
      </w:r>
      <w:r w:rsidRPr="003D28A0">
        <w:t>valence</w:t>
      </w:r>
      <w:r>
        <w:t xml:space="preserve">. </w:t>
      </w:r>
    </w:p>
    <w:p w14:paraId="45D5764C" w14:textId="77777777" w:rsidR="002023AE" w:rsidRDefault="002023AE" w:rsidP="002023AE">
      <w:pPr>
        <w:pStyle w:val="StandardFL"/>
      </w:pPr>
    </w:p>
    <w:p w14:paraId="31F751B4" w14:textId="78809981" w:rsidR="00D52ECF" w:rsidRPr="00B45606" w:rsidRDefault="00D52ECF" w:rsidP="00D52ECF">
      <w:pPr>
        <w:pStyle w:val="Heading3"/>
      </w:pPr>
      <w:r w:rsidRPr="00B45606">
        <w:t>E</w:t>
      </w:r>
      <w:r>
        <w:t xml:space="preserve">xamples of </w:t>
      </w:r>
      <w:r w:rsidRPr="00B45606">
        <w:t>Significant Differences</w:t>
      </w:r>
    </w:p>
    <w:p w14:paraId="4B6B757A" w14:textId="39629E10" w:rsidR="008F13C2" w:rsidRDefault="00D52ECF" w:rsidP="00BE032F">
      <w:pPr>
        <w:pStyle w:val="StandardFL"/>
      </w:pPr>
      <w:r w:rsidRPr="00B45606">
        <w:t>I</w:t>
      </w:r>
      <w:r>
        <w:t>n a variety of ways—apart from the God-language—the present translation differs not only from NJPS but also from other gender</w:t>
      </w:r>
      <w:r w:rsidR="00950DAC">
        <w:t>-</w:t>
      </w:r>
      <w:r>
        <w:t>sensitive translations, such as the ecumenical New Revised Standard Version (</w:t>
      </w:r>
      <w:proofErr w:type="spellStart"/>
      <w:r>
        <w:t>NRSVue</w:t>
      </w:r>
      <w:proofErr w:type="spellEnd"/>
      <w:r>
        <w:t xml:space="preserve">, 2021). </w:t>
      </w:r>
      <w:r w:rsidR="002436EC">
        <w:rPr>
          <w:rFonts w:asciiTheme="majorBidi" w:hAnsiTheme="majorBidi" w:cstheme="majorBidi"/>
          <w:color w:val="000000"/>
        </w:rPr>
        <w:t>Example</w:t>
      </w:r>
      <w:r w:rsidR="003A06F1">
        <w:rPr>
          <w:rFonts w:asciiTheme="majorBidi" w:hAnsiTheme="majorBidi" w:cstheme="majorBidi"/>
          <w:color w:val="000000"/>
        </w:rPr>
        <w:t>s of</w:t>
      </w:r>
      <w:r w:rsidR="008F13C2" w:rsidRPr="000B73B7">
        <w:rPr>
          <w:rFonts w:asciiTheme="majorBidi" w:hAnsiTheme="majorBidi" w:cstheme="majorBidi"/>
          <w:color w:val="000000"/>
        </w:rPr>
        <w:t xml:space="preserve"> </w:t>
      </w:r>
      <w:r w:rsidR="008F13C2">
        <w:rPr>
          <w:rFonts w:asciiTheme="majorBidi" w:hAnsiTheme="majorBidi" w:cstheme="majorBidi"/>
          <w:color w:val="000000"/>
        </w:rPr>
        <w:t>differences</w:t>
      </w:r>
      <w:r w:rsidR="008F13C2" w:rsidRPr="000B73B7">
        <w:rPr>
          <w:rFonts w:asciiTheme="majorBidi" w:hAnsiTheme="majorBidi" w:cstheme="majorBidi"/>
          <w:color w:val="000000"/>
        </w:rPr>
        <w:t xml:space="preserve"> </w:t>
      </w:r>
      <w:r w:rsidR="008F13C2">
        <w:rPr>
          <w:rFonts w:asciiTheme="majorBidi" w:hAnsiTheme="majorBidi" w:cstheme="majorBidi"/>
          <w:color w:val="000000"/>
        </w:rPr>
        <w:t xml:space="preserve">among the three translation </w:t>
      </w:r>
      <w:r w:rsidR="008A3327">
        <w:rPr>
          <w:rFonts w:asciiTheme="majorBidi" w:hAnsiTheme="majorBidi" w:cstheme="majorBidi"/>
          <w:color w:val="000000"/>
        </w:rPr>
        <w:t>renditions</w:t>
      </w:r>
      <w:r w:rsidR="008F13C2">
        <w:rPr>
          <w:rFonts w:asciiTheme="majorBidi" w:hAnsiTheme="majorBidi" w:cstheme="majorBidi"/>
          <w:color w:val="000000"/>
        </w:rPr>
        <w:t xml:space="preserve"> </w:t>
      </w:r>
      <w:r w:rsidR="008F13C2" w:rsidRPr="000B73B7">
        <w:rPr>
          <w:rFonts w:asciiTheme="majorBidi" w:hAnsiTheme="majorBidi" w:cstheme="majorBidi"/>
          <w:color w:val="000000"/>
        </w:rPr>
        <w:t xml:space="preserve">are shown in </w:t>
      </w:r>
      <w:r>
        <w:rPr>
          <w:rFonts w:asciiTheme="majorBidi" w:hAnsiTheme="majorBidi" w:cstheme="majorBidi"/>
          <w:color w:val="000000"/>
        </w:rPr>
        <w:t>T</w:t>
      </w:r>
      <w:r w:rsidR="008F13C2" w:rsidRPr="000B73B7">
        <w:rPr>
          <w:rFonts w:asciiTheme="majorBidi" w:hAnsiTheme="majorBidi" w:cstheme="majorBidi"/>
          <w:color w:val="000000"/>
        </w:rPr>
        <w:t>able</w:t>
      </w:r>
      <w:r>
        <w:rPr>
          <w:rFonts w:asciiTheme="majorBidi" w:hAnsiTheme="majorBidi" w:cstheme="majorBidi"/>
          <w:color w:val="000000"/>
        </w:rPr>
        <w:t xml:space="preserve"> 1</w:t>
      </w:r>
      <w:r w:rsidR="008F13C2" w:rsidRPr="000B73B7">
        <w:rPr>
          <w:rFonts w:asciiTheme="majorBidi" w:hAnsiTheme="majorBidi" w:cstheme="majorBidi"/>
          <w:color w:val="000000"/>
        </w:rPr>
        <w:t>.</w:t>
      </w:r>
      <w:r w:rsidR="008F13C2">
        <w:rPr>
          <w:rFonts w:asciiTheme="majorBidi" w:hAnsiTheme="majorBidi" w:cstheme="majorBidi"/>
          <w:color w:val="000000"/>
        </w:rPr>
        <w:t xml:space="preserve"> </w:t>
      </w:r>
      <w:r w:rsidR="008A3327">
        <w:t>Women are in view in o</w:t>
      </w:r>
      <w:r w:rsidR="008F13C2">
        <w:t xml:space="preserve">nly about half of these cases, which underscores that the goal of gender accuracy is </w:t>
      </w:r>
      <w:r w:rsidR="005B6A07">
        <w:t>a far-reaching endeavor</w:t>
      </w:r>
      <w:r w:rsidR="008F13C2">
        <w:t>.</w:t>
      </w:r>
    </w:p>
    <w:p w14:paraId="7486966B" w14:textId="77777777" w:rsidR="008F13C2" w:rsidRPr="00285219" w:rsidRDefault="008F13C2" w:rsidP="008F13C2">
      <w:pPr>
        <w:pStyle w:val="Standard1218justified"/>
        <w:rPr>
          <w:lang w:bidi="he-IL"/>
        </w:rPr>
      </w:pPr>
    </w:p>
    <w:p w14:paraId="6A45838D" w14:textId="51AEFF86" w:rsidR="008F13C2" w:rsidRPr="00B45606" w:rsidRDefault="002436EC" w:rsidP="00D87533">
      <w:pPr>
        <w:keepNext/>
        <w:pBdr>
          <w:top w:val="nil"/>
          <w:left w:val="nil"/>
          <w:bottom w:val="nil"/>
          <w:right w:val="nil"/>
          <w:between w:val="nil"/>
        </w:pBdr>
        <w:spacing w:after="80" w:line="240" w:lineRule="auto"/>
        <w:jc w:val="center"/>
        <w:rPr>
          <w:rFonts w:asciiTheme="majorBidi" w:hAnsiTheme="majorBidi" w:cstheme="majorBidi"/>
          <w:b/>
          <w:color w:val="595959" w:themeColor="text1" w:themeTint="A6"/>
          <w:szCs w:val="24"/>
        </w:rPr>
      </w:pPr>
      <w:r w:rsidRPr="00B45606">
        <w:rPr>
          <w:rFonts w:asciiTheme="majorBidi" w:hAnsiTheme="majorBidi" w:cstheme="majorBidi"/>
          <w:b/>
          <w:color w:val="595959" w:themeColor="text1" w:themeTint="A6"/>
          <w:szCs w:val="24"/>
        </w:rPr>
        <w:t>Table 1.  Selected</w:t>
      </w:r>
      <w:r w:rsidR="008F13C2" w:rsidRPr="00B45606">
        <w:rPr>
          <w:rFonts w:asciiTheme="majorBidi" w:hAnsiTheme="majorBidi" w:cstheme="majorBidi"/>
          <w:b/>
          <w:color w:val="595959" w:themeColor="text1" w:themeTint="A6"/>
          <w:szCs w:val="24"/>
        </w:rPr>
        <w:t xml:space="preserve"> </w:t>
      </w:r>
      <w:r w:rsidR="00530D99" w:rsidRPr="00B45606">
        <w:rPr>
          <w:rFonts w:asciiTheme="majorBidi" w:hAnsiTheme="majorBidi" w:cstheme="majorBidi"/>
          <w:b/>
          <w:color w:val="595959" w:themeColor="text1" w:themeTint="A6"/>
          <w:szCs w:val="24"/>
        </w:rPr>
        <w:t>References to Human Beings in</w:t>
      </w:r>
      <w:r w:rsidR="008F13C2" w:rsidRPr="00B45606">
        <w:rPr>
          <w:rFonts w:asciiTheme="majorBidi" w:hAnsiTheme="majorBidi" w:cstheme="majorBidi"/>
          <w:b/>
          <w:color w:val="595959" w:themeColor="text1" w:themeTint="A6"/>
          <w:szCs w:val="24"/>
        </w:rPr>
        <w:t xml:space="preserve"> RJPS </w:t>
      </w:r>
      <w:r w:rsidR="00530D99" w:rsidRPr="00B45606">
        <w:rPr>
          <w:rFonts w:asciiTheme="majorBidi" w:hAnsiTheme="majorBidi" w:cstheme="majorBidi"/>
          <w:b/>
          <w:color w:val="595959" w:themeColor="text1" w:themeTint="A6"/>
          <w:szCs w:val="24"/>
        </w:rPr>
        <w:t>versus</w:t>
      </w:r>
      <w:r w:rsidR="008F13C2" w:rsidRPr="00B45606">
        <w:rPr>
          <w:rFonts w:asciiTheme="majorBidi" w:hAnsiTheme="majorBidi" w:cstheme="majorBidi"/>
          <w:b/>
          <w:color w:val="595959" w:themeColor="text1" w:themeTint="A6"/>
          <w:szCs w:val="24"/>
        </w:rPr>
        <w:t xml:space="preserve"> NJPS and </w:t>
      </w:r>
      <w:proofErr w:type="spellStart"/>
      <w:r w:rsidR="008F13C2" w:rsidRPr="00B45606">
        <w:rPr>
          <w:rFonts w:asciiTheme="majorBidi" w:hAnsiTheme="majorBidi" w:cstheme="majorBidi"/>
          <w:b/>
          <w:color w:val="595959" w:themeColor="text1" w:themeTint="A6"/>
          <w:szCs w:val="24"/>
        </w:rPr>
        <w:t>NRSVue</w:t>
      </w:r>
      <w:proofErr w:type="spellEnd"/>
    </w:p>
    <w:tbl>
      <w:tblPr>
        <w:tblStyle w:val="a0"/>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2790"/>
        <w:gridCol w:w="2790"/>
        <w:gridCol w:w="2790"/>
      </w:tblGrid>
      <w:tr w:rsidR="00530D99" w:rsidRPr="00E13BD5" w14:paraId="260FC3FF" w14:textId="77777777" w:rsidTr="00B26315">
        <w:tc>
          <w:tcPr>
            <w:tcW w:w="1430" w:type="dxa"/>
            <w:shd w:val="clear" w:color="auto" w:fill="FFFFFF"/>
            <w:tcMar>
              <w:top w:w="0" w:type="dxa"/>
              <w:left w:w="150" w:type="dxa"/>
              <w:bottom w:w="0" w:type="dxa"/>
              <w:right w:w="150" w:type="dxa"/>
            </w:tcMar>
          </w:tcPr>
          <w:p w14:paraId="07D49BA8" w14:textId="77777777" w:rsidR="00530D99" w:rsidRPr="00434E60" w:rsidRDefault="00530D99" w:rsidP="00D87533">
            <w:pPr>
              <w:keepNext/>
              <w:pBdr>
                <w:top w:val="nil"/>
                <w:left w:val="nil"/>
                <w:bottom w:val="nil"/>
                <w:right w:val="nil"/>
                <w:between w:val="nil"/>
              </w:pBdr>
              <w:spacing w:line="240" w:lineRule="auto"/>
              <w:ind w:right="-63"/>
              <w:rPr>
                <w:rFonts w:asciiTheme="majorBidi" w:hAnsiTheme="majorBidi" w:cstheme="majorBidi"/>
                <w:b/>
                <w:sz w:val="21"/>
                <w:szCs w:val="21"/>
              </w:rPr>
            </w:pPr>
            <w:r w:rsidRPr="00434E60">
              <w:rPr>
                <w:rFonts w:asciiTheme="majorBidi" w:hAnsiTheme="majorBidi" w:cstheme="majorBidi"/>
                <w:b/>
                <w:sz w:val="21"/>
                <w:szCs w:val="21"/>
              </w:rPr>
              <w:t>Locale</w:t>
            </w:r>
          </w:p>
        </w:tc>
        <w:tc>
          <w:tcPr>
            <w:tcW w:w="2790" w:type="dxa"/>
            <w:shd w:val="clear" w:color="auto" w:fill="FFFFFF"/>
          </w:tcPr>
          <w:p w14:paraId="0A11E6E5" w14:textId="694DDB7B" w:rsidR="00530D99" w:rsidRPr="00434E60" w:rsidRDefault="00530D99" w:rsidP="00D87533">
            <w:pPr>
              <w:keepNext/>
              <w:pBdr>
                <w:top w:val="nil"/>
                <w:left w:val="nil"/>
                <w:bottom w:val="nil"/>
                <w:right w:val="nil"/>
                <w:between w:val="nil"/>
              </w:pBdr>
              <w:spacing w:line="240" w:lineRule="auto"/>
              <w:ind w:right="-63"/>
              <w:rPr>
                <w:rFonts w:asciiTheme="majorBidi" w:hAnsiTheme="majorBidi" w:cstheme="majorBidi"/>
                <w:b/>
                <w:sz w:val="21"/>
                <w:szCs w:val="21"/>
              </w:rPr>
            </w:pPr>
            <w:r w:rsidRPr="00434E60">
              <w:rPr>
                <w:rFonts w:asciiTheme="majorBidi" w:hAnsiTheme="majorBidi" w:cstheme="majorBidi"/>
                <w:b/>
                <w:sz w:val="21"/>
                <w:szCs w:val="21"/>
              </w:rPr>
              <w:t>RJPS</w:t>
            </w:r>
          </w:p>
        </w:tc>
        <w:tc>
          <w:tcPr>
            <w:tcW w:w="2790" w:type="dxa"/>
            <w:tcBorders>
              <w:right w:val="double" w:sz="6" w:space="0" w:color="auto"/>
            </w:tcBorders>
            <w:shd w:val="clear" w:color="auto" w:fill="FFFFFF"/>
            <w:tcMar>
              <w:top w:w="0" w:type="dxa"/>
              <w:left w:w="150" w:type="dxa"/>
              <w:bottom w:w="0" w:type="dxa"/>
              <w:right w:w="150" w:type="dxa"/>
            </w:tcMar>
          </w:tcPr>
          <w:p w14:paraId="026430EF" w14:textId="5DC92EB6" w:rsidR="00530D99" w:rsidRPr="00434E60" w:rsidRDefault="00530D99" w:rsidP="00D87533">
            <w:pPr>
              <w:keepNext/>
              <w:pBdr>
                <w:top w:val="nil"/>
                <w:left w:val="nil"/>
                <w:bottom w:val="nil"/>
                <w:right w:val="nil"/>
                <w:between w:val="nil"/>
              </w:pBdr>
              <w:spacing w:line="240" w:lineRule="auto"/>
              <w:ind w:right="-63"/>
              <w:rPr>
                <w:rFonts w:asciiTheme="majorBidi" w:hAnsiTheme="majorBidi" w:cstheme="majorBidi"/>
                <w:b/>
                <w:sz w:val="21"/>
                <w:szCs w:val="21"/>
              </w:rPr>
            </w:pPr>
            <w:r w:rsidRPr="00434E60">
              <w:rPr>
                <w:rFonts w:asciiTheme="majorBidi" w:hAnsiTheme="majorBidi" w:cstheme="majorBidi"/>
                <w:b/>
                <w:sz w:val="21"/>
                <w:szCs w:val="21"/>
              </w:rPr>
              <w:t>NJPS (1985)</w:t>
            </w:r>
          </w:p>
        </w:tc>
        <w:tc>
          <w:tcPr>
            <w:tcW w:w="2790" w:type="dxa"/>
            <w:tcBorders>
              <w:left w:val="double" w:sz="6" w:space="0" w:color="auto"/>
            </w:tcBorders>
            <w:shd w:val="clear" w:color="auto" w:fill="FFFFFF"/>
          </w:tcPr>
          <w:p w14:paraId="58B5FD71" w14:textId="77777777" w:rsidR="00530D99" w:rsidRPr="00434E60" w:rsidRDefault="00530D99" w:rsidP="00D87533">
            <w:pPr>
              <w:keepNext/>
              <w:pBdr>
                <w:top w:val="nil"/>
                <w:left w:val="nil"/>
                <w:bottom w:val="nil"/>
                <w:right w:val="nil"/>
                <w:between w:val="nil"/>
              </w:pBdr>
              <w:spacing w:line="240" w:lineRule="auto"/>
              <w:ind w:right="-63"/>
              <w:rPr>
                <w:rFonts w:asciiTheme="majorBidi" w:hAnsiTheme="majorBidi" w:cstheme="majorBidi"/>
                <w:b/>
                <w:sz w:val="21"/>
                <w:szCs w:val="21"/>
              </w:rPr>
            </w:pPr>
            <w:proofErr w:type="spellStart"/>
            <w:r w:rsidRPr="00434E60">
              <w:rPr>
                <w:rFonts w:asciiTheme="majorBidi" w:hAnsiTheme="majorBidi" w:cstheme="majorBidi"/>
                <w:b/>
                <w:sz w:val="21"/>
                <w:szCs w:val="21"/>
              </w:rPr>
              <w:t>NRSVue</w:t>
            </w:r>
            <w:proofErr w:type="spellEnd"/>
            <w:r w:rsidRPr="00434E60">
              <w:rPr>
                <w:rFonts w:asciiTheme="majorBidi" w:hAnsiTheme="majorBidi" w:cstheme="majorBidi"/>
                <w:b/>
                <w:sz w:val="21"/>
                <w:szCs w:val="21"/>
              </w:rPr>
              <w:t xml:space="preserve"> (2021)</w:t>
            </w:r>
          </w:p>
        </w:tc>
      </w:tr>
      <w:tr w:rsidR="00530D99" w:rsidRPr="00E13BD5" w14:paraId="5ADB9F9E" w14:textId="77777777" w:rsidTr="00B26315">
        <w:tc>
          <w:tcPr>
            <w:tcW w:w="1430" w:type="dxa"/>
            <w:shd w:val="clear" w:color="auto" w:fill="FFFFFF"/>
            <w:tcMar>
              <w:top w:w="0" w:type="dxa"/>
              <w:left w:w="150" w:type="dxa"/>
              <w:bottom w:w="0" w:type="dxa"/>
              <w:right w:w="150" w:type="dxa"/>
            </w:tcMar>
          </w:tcPr>
          <w:p w14:paraId="45DEDA23"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Gen 13.7</w:t>
            </w:r>
          </w:p>
        </w:tc>
        <w:tc>
          <w:tcPr>
            <w:tcW w:w="2790" w:type="dxa"/>
            <w:shd w:val="clear" w:color="auto" w:fill="FFFFFF"/>
          </w:tcPr>
          <w:p w14:paraId="2DBFE687" w14:textId="0F2E2932" w:rsidR="00530D99" w:rsidRPr="00E77982" w:rsidRDefault="00530D99" w:rsidP="00FD011C">
            <w:pPr>
              <w:pBdr>
                <w:top w:val="nil"/>
                <w:left w:val="nil"/>
                <w:bottom w:val="nil"/>
                <w:right w:val="nil"/>
                <w:between w:val="nil"/>
              </w:pBdr>
              <w:spacing w:line="240" w:lineRule="auto"/>
              <w:ind w:right="-63"/>
              <w:rPr>
                <w:sz w:val="21"/>
                <w:szCs w:val="21"/>
              </w:rPr>
            </w:pPr>
            <w:r w:rsidRPr="00E77982">
              <w:rPr>
                <w:sz w:val="21"/>
                <w:szCs w:val="21"/>
              </w:rPr>
              <w:t xml:space="preserve">the </w:t>
            </w:r>
            <w:r w:rsidRPr="00692765">
              <w:rPr>
                <w:sz w:val="21"/>
                <w:szCs w:val="21"/>
                <w:u w:color="7F7F7F" w:themeColor="text1" w:themeTint="80"/>
              </w:rPr>
              <w:t>herders</w:t>
            </w:r>
            <w:r w:rsidRPr="00E77982">
              <w:rPr>
                <w:sz w:val="21"/>
                <w:szCs w:val="21"/>
              </w:rPr>
              <w:t xml:space="preserve"> of Abram</w:t>
            </w:r>
            <w:r w:rsidRPr="00B45606">
              <w:rPr>
                <w:sz w:val="21"/>
                <w:szCs w:val="21"/>
              </w:rPr>
              <w:t>’s c</w:t>
            </w:r>
            <w:r w:rsidRPr="00E77982">
              <w:rPr>
                <w:sz w:val="21"/>
                <w:szCs w:val="21"/>
              </w:rPr>
              <w:t>attle</w:t>
            </w:r>
          </w:p>
        </w:tc>
        <w:tc>
          <w:tcPr>
            <w:tcW w:w="2790" w:type="dxa"/>
            <w:tcBorders>
              <w:right w:val="double" w:sz="6" w:space="0" w:color="auto"/>
            </w:tcBorders>
            <w:shd w:val="clear" w:color="auto" w:fill="FFFFFF"/>
            <w:tcMar>
              <w:top w:w="0" w:type="dxa"/>
              <w:left w:w="150" w:type="dxa"/>
              <w:bottom w:w="0" w:type="dxa"/>
              <w:right w:w="150" w:type="dxa"/>
            </w:tcMar>
          </w:tcPr>
          <w:p w14:paraId="11635C04" w14:textId="6BD38C72"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E77982">
              <w:rPr>
                <w:sz w:val="21"/>
                <w:szCs w:val="21"/>
              </w:rPr>
              <w:t xml:space="preserve">the </w:t>
            </w:r>
            <w:r w:rsidRPr="00692765">
              <w:rPr>
                <w:sz w:val="21"/>
                <w:szCs w:val="21"/>
                <w:u w:color="7F7F7F" w:themeColor="text1" w:themeTint="80"/>
              </w:rPr>
              <w:t>herdsmen</w:t>
            </w:r>
            <w:r w:rsidRPr="00E77982">
              <w:rPr>
                <w:sz w:val="21"/>
                <w:szCs w:val="21"/>
              </w:rPr>
              <w:t xml:space="preserve"> of Abram</w:t>
            </w:r>
            <w:r w:rsidRPr="00B45606">
              <w:rPr>
                <w:sz w:val="21"/>
                <w:szCs w:val="21"/>
              </w:rPr>
              <w:t>’s c</w:t>
            </w:r>
            <w:r w:rsidRPr="00E77982">
              <w:rPr>
                <w:sz w:val="21"/>
                <w:szCs w:val="21"/>
              </w:rPr>
              <w:t>attle</w:t>
            </w:r>
          </w:p>
        </w:tc>
        <w:tc>
          <w:tcPr>
            <w:tcW w:w="2790" w:type="dxa"/>
            <w:tcBorders>
              <w:left w:val="double" w:sz="6" w:space="0" w:color="auto"/>
            </w:tcBorders>
            <w:shd w:val="clear" w:color="auto" w:fill="FFFFFF"/>
          </w:tcPr>
          <w:p w14:paraId="2BCDBD20"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the herders of Abram</w:t>
            </w:r>
            <w:r w:rsidRPr="00B45606">
              <w:rPr>
                <w:rFonts w:asciiTheme="majorBidi" w:hAnsiTheme="majorBidi" w:cstheme="majorBidi"/>
                <w:sz w:val="21"/>
                <w:szCs w:val="21"/>
              </w:rPr>
              <w:t>’s l</w:t>
            </w:r>
            <w:r>
              <w:rPr>
                <w:rFonts w:asciiTheme="majorBidi" w:hAnsiTheme="majorBidi" w:cstheme="majorBidi"/>
                <w:sz w:val="21"/>
                <w:szCs w:val="21"/>
              </w:rPr>
              <w:t>ivestock</w:t>
            </w:r>
          </w:p>
        </w:tc>
      </w:tr>
      <w:tr w:rsidR="00530D99" w:rsidRPr="00E13BD5" w14:paraId="763172DF" w14:textId="77777777" w:rsidTr="00B26315">
        <w:tc>
          <w:tcPr>
            <w:tcW w:w="1430" w:type="dxa"/>
            <w:shd w:val="clear" w:color="auto" w:fill="FFFFFF"/>
            <w:tcMar>
              <w:top w:w="0" w:type="dxa"/>
              <w:left w:w="150" w:type="dxa"/>
              <w:bottom w:w="0" w:type="dxa"/>
              <w:right w:w="150" w:type="dxa"/>
            </w:tcMar>
          </w:tcPr>
          <w:p w14:paraId="0142B2BE"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Gen. 42.11</w:t>
            </w:r>
          </w:p>
        </w:tc>
        <w:tc>
          <w:tcPr>
            <w:tcW w:w="2790" w:type="dxa"/>
            <w:shd w:val="clear" w:color="auto" w:fill="FFFFFF"/>
          </w:tcPr>
          <w:p w14:paraId="354EF048" w14:textId="078F1FE4"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we are being honest</w:t>
            </w:r>
          </w:p>
        </w:tc>
        <w:tc>
          <w:tcPr>
            <w:tcW w:w="2790" w:type="dxa"/>
            <w:tcBorders>
              <w:right w:val="double" w:sz="6" w:space="0" w:color="auto"/>
            </w:tcBorders>
            <w:shd w:val="clear" w:color="auto" w:fill="FFFFFF"/>
            <w:tcMar>
              <w:top w:w="0" w:type="dxa"/>
              <w:left w:w="150" w:type="dxa"/>
              <w:bottom w:w="0" w:type="dxa"/>
              <w:right w:w="150" w:type="dxa"/>
            </w:tcMar>
          </w:tcPr>
          <w:p w14:paraId="76CFC8B6" w14:textId="43126F91"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i/>
                <w:sz w:val="21"/>
                <w:szCs w:val="21"/>
              </w:rPr>
            </w:pPr>
            <w:r w:rsidRPr="00434E60">
              <w:rPr>
                <w:rFonts w:asciiTheme="majorBidi" w:hAnsiTheme="majorBidi" w:cstheme="majorBidi"/>
                <w:sz w:val="21"/>
                <w:szCs w:val="21"/>
              </w:rPr>
              <w:t xml:space="preserve">we are honest </w:t>
            </w:r>
            <w:r w:rsidRPr="00434E60">
              <w:rPr>
                <w:rFonts w:asciiTheme="majorBidi" w:hAnsiTheme="majorBidi" w:cstheme="majorBidi"/>
                <w:iCs/>
                <w:sz w:val="21"/>
                <w:szCs w:val="21"/>
              </w:rPr>
              <w:t>men</w:t>
            </w:r>
          </w:p>
        </w:tc>
        <w:tc>
          <w:tcPr>
            <w:tcW w:w="2790" w:type="dxa"/>
            <w:tcBorders>
              <w:left w:val="double" w:sz="6" w:space="0" w:color="auto"/>
            </w:tcBorders>
            <w:shd w:val="clear" w:color="auto" w:fill="FFFFFF"/>
          </w:tcPr>
          <w:p w14:paraId="1C53D5F9"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 xml:space="preserve">we are honest </w:t>
            </w:r>
            <w:r w:rsidRPr="00434E60">
              <w:rPr>
                <w:rFonts w:asciiTheme="majorBidi" w:hAnsiTheme="majorBidi" w:cstheme="majorBidi"/>
                <w:iCs/>
                <w:sz w:val="21"/>
                <w:szCs w:val="21"/>
              </w:rPr>
              <w:t>men</w:t>
            </w:r>
          </w:p>
        </w:tc>
      </w:tr>
      <w:tr w:rsidR="00530D99" w:rsidRPr="00E13BD5" w14:paraId="213F681D" w14:textId="77777777" w:rsidTr="00B26315">
        <w:tc>
          <w:tcPr>
            <w:tcW w:w="1430" w:type="dxa"/>
            <w:shd w:val="clear" w:color="auto" w:fill="FFFFFF"/>
            <w:tcMar>
              <w:top w:w="0" w:type="dxa"/>
              <w:left w:w="150" w:type="dxa"/>
              <w:bottom w:w="0" w:type="dxa"/>
              <w:right w:w="150" w:type="dxa"/>
            </w:tcMar>
          </w:tcPr>
          <w:p w14:paraId="6210D477"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Gen. 44.17</w:t>
            </w:r>
          </w:p>
        </w:tc>
        <w:tc>
          <w:tcPr>
            <w:tcW w:w="2790" w:type="dxa"/>
            <w:shd w:val="clear" w:color="auto" w:fill="FFFFFF"/>
          </w:tcPr>
          <w:p w14:paraId="275F2CB9" w14:textId="18C728CD" w:rsidR="00530D99" w:rsidRPr="00E77982" w:rsidRDefault="00530D99" w:rsidP="00FD011C">
            <w:pPr>
              <w:pBdr>
                <w:top w:val="nil"/>
                <w:left w:val="nil"/>
                <w:bottom w:val="nil"/>
                <w:right w:val="nil"/>
                <w:between w:val="nil"/>
              </w:pBdr>
              <w:spacing w:line="240" w:lineRule="auto"/>
              <w:ind w:right="-63"/>
              <w:rPr>
                <w:sz w:val="21"/>
                <w:szCs w:val="21"/>
              </w:rPr>
            </w:pPr>
            <w:r w:rsidRPr="00E77982">
              <w:rPr>
                <w:sz w:val="21"/>
                <w:szCs w:val="21"/>
              </w:rPr>
              <w:t xml:space="preserve">Only </w:t>
            </w:r>
            <w:r w:rsidRPr="00EC3CE4">
              <w:rPr>
                <w:sz w:val="21"/>
                <w:szCs w:val="21"/>
                <w:u w:color="7F7F7F" w:themeColor="text1" w:themeTint="80"/>
              </w:rPr>
              <w:t>the man</w:t>
            </w:r>
            <w:r w:rsidRPr="00E77982">
              <w:rPr>
                <w:sz w:val="21"/>
                <w:szCs w:val="21"/>
              </w:rPr>
              <w:t xml:space="preserve"> in whose possession the goblet was found</w:t>
            </w:r>
          </w:p>
        </w:tc>
        <w:tc>
          <w:tcPr>
            <w:tcW w:w="2790" w:type="dxa"/>
            <w:tcBorders>
              <w:right w:val="double" w:sz="6" w:space="0" w:color="auto"/>
            </w:tcBorders>
            <w:shd w:val="clear" w:color="auto" w:fill="FFFFFF"/>
            <w:tcMar>
              <w:top w:w="0" w:type="dxa"/>
              <w:left w:w="150" w:type="dxa"/>
              <w:bottom w:w="0" w:type="dxa"/>
              <w:right w:w="150" w:type="dxa"/>
            </w:tcMar>
          </w:tcPr>
          <w:p w14:paraId="3AB3B205" w14:textId="3064D57F" w:rsidR="00530D99" w:rsidRPr="00434E60" w:rsidRDefault="00530D99" w:rsidP="00FD011C">
            <w:pPr>
              <w:pBdr>
                <w:top w:val="nil"/>
                <w:left w:val="nil"/>
                <w:bottom w:val="nil"/>
                <w:right w:val="nil"/>
                <w:between w:val="nil"/>
              </w:pBdr>
              <w:spacing w:line="240" w:lineRule="auto"/>
              <w:ind w:right="-63"/>
              <w:rPr>
                <w:sz w:val="21"/>
                <w:szCs w:val="21"/>
              </w:rPr>
            </w:pPr>
            <w:r w:rsidRPr="00E77982">
              <w:rPr>
                <w:sz w:val="21"/>
                <w:szCs w:val="21"/>
              </w:rPr>
              <w:t xml:space="preserve">Only </w:t>
            </w:r>
            <w:r w:rsidRPr="00EC3CE4">
              <w:rPr>
                <w:sz w:val="21"/>
                <w:szCs w:val="21"/>
                <w:u w:color="7F7F7F" w:themeColor="text1" w:themeTint="80"/>
              </w:rPr>
              <w:t>he</w:t>
            </w:r>
            <w:r w:rsidRPr="00E77982">
              <w:rPr>
                <w:sz w:val="21"/>
                <w:szCs w:val="21"/>
              </w:rPr>
              <w:t xml:space="preserve"> in whose possession the goblet was found</w:t>
            </w:r>
          </w:p>
        </w:tc>
        <w:tc>
          <w:tcPr>
            <w:tcW w:w="2790" w:type="dxa"/>
            <w:tcBorders>
              <w:left w:val="double" w:sz="6" w:space="0" w:color="auto"/>
            </w:tcBorders>
            <w:shd w:val="clear" w:color="auto" w:fill="FFFFFF"/>
          </w:tcPr>
          <w:p w14:paraId="1AC14D06"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Only the one in whose possession the cup was found</w:t>
            </w:r>
          </w:p>
        </w:tc>
      </w:tr>
      <w:tr w:rsidR="00530D99" w:rsidRPr="00E13BD5" w14:paraId="1255E173" w14:textId="77777777" w:rsidTr="00B26315">
        <w:tc>
          <w:tcPr>
            <w:tcW w:w="1430" w:type="dxa"/>
            <w:shd w:val="clear" w:color="auto" w:fill="FFFFFF"/>
            <w:tcMar>
              <w:top w:w="0" w:type="dxa"/>
              <w:left w:w="150" w:type="dxa"/>
              <w:bottom w:w="0" w:type="dxa"/>
              <w:right w:w="150" w:type="dxa"/>
            </w:tcMar>
          </w:tcPr>
          <w:p w14:paraId="1889F73B"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Exod. 4.31</w:t>
            </w:r>
          </w:p>
        </w:tc>
        <w:tc>
          <w:tcPr>
            <w:tcW w:w="2790" w:type="dxa"/>
            <w:shd w:val="clear" w:color="auto" w:fill="FFFFFF"/>
          </w:tcPr>
          <w:p w14:paraId="7EE7DBA2" w14:textId="2B74F214" w:rsidR="00530D99" w:rsidRPr="00320005" w:rsidRDefault="00530D99" w:rsidP="00FD011C">
            <w:pPr>
              <w:pBdr>
                <w:top w:val="nil"/>
                <w:left w:val="nil"/>
                <w:bottom w:val="nil"/>
                <w:right w:val="nil"/>
                <w:between w:val="nil"/>
              </w:pBdr>
              <w:spacing w:line="240" w:lineRule="auto"/>
              <w:ind w:right="-63"/>
              <w:rPr>
                <w:sz w:val="21"/>
                <w:szCs w:val="21"/>
              </w:rPr>
            </w:pPr>
            <w:r w:rsidRPr="00320005">
              <w:rPr>
                <w:sz w:val="21"/>
                <w:szCs w:val="21"/>
              </w:rPr>
              <w:t>and the assembly was convinced</w:t>
            </w:r>
          </w:p>
        </w:tc>
        <w:tc>
          <w:tcPr>
            <w:tcW w:w="2790" w:type="dxa"/>
            <w:tcBorders>
              <w:right w:val="double" w:sz="6" w:space="0" w:color="auto"/>
            </w:tcBorders>
            <w:shd w:val="clear" w:color="auto" w:fill="FFFFFF"/>
            <w:tcMar>
              <w:top w:w="0" w:type="dxa"/>
              <w:left w:w="150" w:type="dxa"/>
              <w:bottom w:w="0" w:type="dxa"/>
              <w:right w:w="150" w:type="dxa"/>
            </w:tcMar>
          </w:tcPr>
          <w:p w14:paraId="7FDE4BFA" w14:textId="094388E8" w:rsidR="00530D99" w:rsidRPr="00434E60" w:rsidRDefault="00530D99" w:rsidP="00FD011C">
            <w:pPr>
              <w:pBdr>
                <w:top w:val="nil"/>
                <w:left w:val="nil"/>
                <w:bottom w:val="nil"/>
                <w:right w:val="nil"/>
                <w:between w:val="nil"/>
              </w:pBdr>
              <w:spacing w:line="240" w:lineRule="auto"/>
              <w:ind w:right="-63"/>
              <w:rPr>
                <w:sz w:val="21"/>
                <w:szCs w:val="21"/>
              </w:rPr>
            </w:pPr>
            <w:r w:rsidRPr="00320005">
              <w:rPr>
                <w:sz w:val="21"/>
                <w:szCs w:val="21"/>
              </w:rPr>
              <w:t>and the people were convinced</w:t>
            </w:r>
          </w:p>
        </w:tc>
        <w:tc>
          <w:tcPr>
            <w:tcW w:w="2790" w:type="dxa"/>
            <w:tcBorders>
              <w:left w:val="double" w:sz="6" w:space="0" w:color="auto"/>
            </w:tcBorders>
            <w:shd w:val="clear" w:color="auto" w:fill="FFFFFF"/>
          </w:tcPr>
          <w:p w14:paraId="0E15A2D8"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The people believed</w:t>
            </w:r>
          </w:p>
        </w:tc>
      </w:tr>
      <w:tr w:rsidR="00530D99" w:rsidRPr="00E13BD5" w14:paraId="3E585F3C" w14:textId="77777777" w:rsidTr="00B26315">
        <w:tc>
          <w:tcPr>
            <w:tcW w:w="1430" w:type="dxa"/>
            <w:shd w:val="clear" w:color="auto" w:fill="FFFFFF"/>
            <w:tcMar>
              <w:top w:w="0" w:type="dxa"/>
              <w:left w:w="150" w:type="dxa"/>
              <w:bottom w:w="0" w:type="dxa"/>
              <w:right w:w="150" w:type="dxa"/>
            </w:tcMar>
          </w:tcPr>
          <w:p w14:paraId="1C53B4B1"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Exod. 8.13</w:t>
            </w:r>
          </w:p>
        </w:tc>
        <w:tc>
          <w:tcPr>
            <w:tcW w:w="2790" w:type="dxa"/>
            <w:shd w:val="clear" w:color="auto" w:fill="FFFFFF"/>
          </w:tcPr>
          <w:p w14:paraId="11A12EAE" w14:textId="492F2666"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iCs/>
                <w:sz w:val="21"/>
                <w:szCs w:val="21"/>
              </w:rPr>
            </w:pPr>
            <w:r w:rsidRPr="00434E60">
              <w:rPr>
                <w:rFonts w:asciiTheme="majorBidi" w:hAnsiTheme="majorBidi" w:cstheme="majorBidi"/>
                <w:sz w:val="21"/>
                <w:szCs w:val="21"/>
              </w:rPr>
              <w:t>upon human and animal</w:t>
            </w:r>
          </w:p>
        </w:tc>
        <w:tc>
          <w:tcPr>
            <w:tcW w:w="2790" w:type="dxa"/>
            <w:tcBorders>
              <w:right w:val="double" w:sz="6" w:space="0" w:color="auto"/>
            </w:tcBorders>
            <w:shd w:val="clear" w:color="auto" w:fill="FFFFFF"/>
            <w:tcMar>
              <w:top w:w="0" w:type="dxa"/>
              <w:left w:w="150" w:type="dxa"/>
              <w:bottom w:w="0" w:type="dxa"/>
              <w:right w:w="150" w:type="dxa"/>
            </w:tcMar>
          </w:tcPr>
          <w:p w14:paraId="5247B202" w14:textId="4707CF1C"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iCs/>
                <w:sz w:val="21"/>
                <w:szCs w:val="21"/>
              </w:rPr>
              <w:t>upon man</w:t>
            </w:r>
            <w:r w:rsidRPr="00434E60">
              <w:rPr>
                <w:rFonts w:asciiTheme="majorBidi" w:hAnsiTheme="majorBidi" w:cstheme="majorBidi"/>
                <w:sz w:val="21"/>
                <w:szCs w:val="21"/>
              </w:rPr>
              <w:t xml:space="preserve"> and beast</w:t>
            </w:r>
          </w:p>
        </w:tc>
        <w:tc>
          <w:tcPr>
            <w:tcW w:w="2790" w:type="dxa"/>
            <w:tcBorders>
              <w:left w:val="double" w:sz="6" w:space="0" w:color="auto"/>
            </w:tcBorders>
            <w:shd w:val="clear" w:color="auto" w:fill="FFFFFF"/>
          </w:tcPr>
          <w:p w14:paraId="2384CA0D"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on humans and animals alike</w:t>
            </w:r>
          </w:p>
        </w:tc>
      </w:tr>
      <w:tr w:rsidR="00530D99" w:rsidRPr="00E13BD5" w14:paraId="3F5E43FE" w14:textId="77777777" w:rsidTr="00B26315">
        <w:tc>
          <w:tcPr>
            <w:tcW w:w="1430" w:type="dxa"/>
            <w:shd w:val="clear" w:color="auto" w:fill="FFFFFF"/>
            <w:tcMar>
              <w:top w:w="0" w:type="dxa"/>
              <w:left w:w="150" w:type="dxa"/>
              <w:bottom w:w="0" w:type="dxa"/>
              <w:right w:w="150" w:type="dxa"/>
            </w:tcMar>
          </w:tcPr>
          <w:p w14:paraId="5F4A54CA"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Exod. 21.7</w:t>
            </w:r>
          </w:p>
        </w:tc>
        <w:tc>
          <w:tcPr>
            <w:tcW w:w="2790" w:type="dxa"/>
            <w:shd w:val="clear" w:color="auto" w:fill="FFFFFF"/>
          </w:tcPr>
          <w:p w14:paraId="633B1110" w14:textId="30E1024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a parent sells a daughter</w:t>
            </w:r>
          </w:p>
        </w:tc>
        <w:tc>
          <w:tcPr>
            <w:tcW w:w="2790" w:type="dxa"/>
            <w:tcBorders>
              <w:right w:val="double" w:sz="6" w:space="0" w:color="auto"/>
            </w:tcBorders>
            <w:shd w:val="clear" w:color="auto" w:fill="FFFFFF"/>
            <w:tcMar>
              <w:top w:w="0" w:type="dxa"/>
              <w:left w:w="150" w:type="dxa"/>
              <w:bottom w:w="0" w:type="dxa"/>
              <w:right w:w="150" w:type="dxa"/>
            </w:tcMar>
          </w:tcPr>
          <w:p w14:paraId="41A3BAF9" w14:textId="6F8883F4"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a man sells his daughter</w:t>
            </w:r>
          </w:p>
        </w:tc>
        <w:tc>
          <w:tcPr>
            <w:tcW w:w="2790" w:type="dxa"/>
            <w:tcBorders>
              <w:left w:val="double" w:sz="6" w:space="0" w:color="auto"/>
            </w:tcBorders>
            <w:shd w:val="clear" w:color="auto" w:fill="FFFFFF"/>
          </w:tcPr>
          <w:p w14:paraId="4148CA62"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a man sells his daughter</w:t>
            </w:r>
          </w:p>
        </w:tc>
      </w:tr>
      <w:tr w:rsidR="00530D99" w:rsidRPr="00E13BD5" w14:paraId="67407D8F" w14:textId="77777777" w:rsidTr="00B26315">
        <w:tc>
          <w:tcPr>
            <w:tcW w:w="1430" w:type="dxa"/>
            <w:shd w:val="clear" w:color="auto" w:fill="FFFFFF"/>
            <w:tcMar>
              <w:top w:w="0" w:type="dxa"/>
              <w:left w:w="150" w:type="dxa"/>
              <w:bottom w:w="0" w:type="dxa"/>
              <w:right w:w="150" w:type="dxa"/>
            </w:tcMar>
          </w:tcPr>
          <w:p w14:paraId="051C3613" w14:textId="5A4A1B29"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Exod. 11.5</w:t>
            </w:r>
          </w:p>
        </w:tc>
        <w:tc>
          <w:tcPr>
            <w:tcW w:w="2790" w:type="dxa"/>
            <w:shd w:val="clear" w:color="auto" w:fill="FFFFFF"/>
          </w:tcPr>
          <w:p w14:paraId="6A3E6E93" w14:textId="432134DC" w:rsidR="00530D99" w:rsidRPr="0064294B"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e</w:t>
            </w:r>
            <w:r w:rsidRPr="0064294B">
              <w:rPr>
                <w:rFonts w:asciiTheme="majorBidi" w:hAnsiTheme="majorBidi" w:cstheme="majorBidi"/>
                <w:sz w:val="21"/>
                <w:szCs w:val="21"/>
              </w:rPr>
              <w:t xml:space="preserve">very [male] first-born in the land of Egypt </w:t>
            </w:r>
            <w:r>
              <w:rPr>
                <w:rFonts w:asciiTheme="majorBidi" w:hAnsiTheme="majorBidi" w:cstheme="majorBidi"/>
                <w:sz w:val="21"/>
                <w:szCs w:val="21"/>
              </w:rPr>
              <w:t>will</w:t>
            </w:r>
            <w:r w:rsidRPr="0064294B">
              <w:rPr>
                <w:rFonts w:asciiTheme="majorBidi" w:hAnsiTheme="majorBidi" w:cstheme="majorBidi"/>
                <w:sz w:val="21"/>
                <w:szCs w:val="21"/>
              </w:rPr>
              <w:t xml:space="preserve"> die</w:t>
            </w:r>
          </w:p>
        </w:tc>
        <w:tc>
          <w:tcPr>
            <w:tcW w:w="2790" w:type="dxa"/>
            <w:tcBorders>
              <w:right w:val="double" w:sz="6" w:space="0" w:color="auto"/>
            </w:tcBorders>
            <w:shd w:val="clear" w:color="auto" w:fill="FFFFFF"/>
            <w:tcMar>
              <w:top w:w="0" w:type="dxa"/>
              <w:left w:w="150" w:type="dxa"/>
              <w:bottom w:w="0" w:type="dxa"/>
              <w:right w:w="150" w:type="dxa"/>
            </w:tcMar>
          </w:tcPr>
          <w:p w14:paraId="265326B5" w14:textId="6C0A828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64294B">
              <w:rPr>
                <w:rFonts w:asciiTheme="majorBidi" w:hAnsiTheme="majorBidi" w:cstheme="majorBidi"/>
                <w:sz w:val="21"/>
                <w:szCs w:val="21"/>
              </w:rPr>
              <w:t>every first-born in the land of Egypt shall die</w:t>
            </w:r>
          </w:p>
        </w:tc>
        <w:tc>
          <w:tcPr>
            <w:tcW w:w="2790" w:type="dxa"/>
            <w:tcBorders>
              <w:left w:val="double" w:sz="6" w:space="0" w:color="auto"/>
            </w:tcBorders>
            <w:shd w:val="clear" w:color="auto" w:fill="FFFFFF"/>
          </w:tcPr>
          <w:p w14:paraId="5F00C33F" w14:textId="2475CBBB"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64294B">
              <w:rPr>
                <w:rFonts w:asciiTheme="majorBidi" w:hAnsiTheme="majorBidi" w:cstheme="majorBidi"/>
                <w:sz w:val="21"/>
                <w:szCs w:val="21"/>
              </w:rPr>
              <w:t>Every firstborn in the land of Egypt shall die</w:t>
            </w:r>
          </w:p>
        </w:tc>
      </w:tr>
      <w:tr w:rsidR="00FA3CBD" w:rsidRPr="00E13BD5" w14:paraId="184DAF5E" w14:textId="77777777" w:rsidTr="00B26315">
        <w:tc>
          <w:tcPr>
            <w:tcW w:w="1430" w:type="dxa"/>
            <w:shd w:val="clear" w:color="auto" w:fill="FFFFFF"/>
            <w:tcMar>
              <w:top w:w="0" w:type="dxa"/>
              <w:left w:w="150" w:type="dxa"/>
              <w:bottom w:w="0" w:type="dxa"/>
              <w:right w:w="150" w:type="dxa"/>
            </w:tcMar>
          </w:tcPr>
          <w:p w14:paraId="6D156BC5" w14:textId="4451ED33" w:rsidR="00FA3CBD" w:rsidRPr="00434E60" w:rsidRDefault="00FA3CBD" w:rsidP="00FD011C">
            <w:pPr>
              <w:pBdr>
                <w:top w:val="nil"/>
                <w:left w:val="nil"/>
                <w:bottom w:val="nil"/>
                <w:right w:val="nil"/>
                <w:between w:val="nil"/>
              </w:pBdr>
              <w:spacing w:line="240" w:lineRule="auto"/>
              <w:ind w:right="-63"/>
              <w:rPr>
                <w:rFonts w:asciiTheme="majorBidi" w:hAnsiTheme="majorBidi" w:cstheme="majorBidi"/>
                <w:sz w:val="21"/>
                <w:szCs w:val="21"/>
              </w:rPr>
            </w:pPr>
            <w:r>
              <w:rPr>
                <w:rFonts w:asciiTheme="majorBidi" w:hAnsiTheme="majorBidi" w:cstheme="majorBidi"/>
                <w:sz w:val="21"/>
                <w:szCs w:val="21"/>
              </w:rPr>
              <w:t>Lev 15.33</w:t>
            </w:r>
          </w:p>
        </w:tc>
        <w:tc>
          <w:tcPr>
            <w:tcW w:w="2790" w:type="dxa"/>
            <w:shd w:val="clear" w:color="auto" w:fill="FFFFFF"/>
          </w:tcPr>
          <w:p w14:paraId="69D444FF" w14:textId="382E48E7" w:rsidR="00FA3CBD" w:rsidRPr="00434E60" w:rsidRDefault="00FA3CBD" w:rsidP="00FA3CBD">
            <w:pPr>
              <w:pBdr>
                <w:top w:val="nil"/>
                <w:left w:val="nil"/>
                <w:bottom w:val="nil"/>
                <w:right w:val="nil"/>
                <w:between w:val="nil"/>
              </w:pBdr>
              <w:spacing w:line="240" w:lineRule="auto"/>
              <w:ind w:right="-63"/>
              <w:rPr>
                <w:sz w:val="21"/>
                <w:szCs w:val="21"/>
              </w:rPr>
            </w:pPr>
            <w:r w:rsidRPr="00FA3CBD">
              <w:rPr>
                <w:sz w:val="21"/>
                <w:szCs w:val="21"/>
              </w:rPr>
              <w:t>concerning her whose condition is that of menstrual separation</w:t>
            </w:r>
          </w:p>
        </w:tc>
        <w:tc>
          <w:tcPr>
            <w:tcW w:w="2790" w:type="dxa"/>
            <w:tcBorders>
              <w:right w:val="double" w:sz="6" w:space="0" w:color="auto"/>
            </w:tcBorders>
            <w:shd w:val="clear" w:color="auto" w:fill="FFFFFF"/>
            <w:tcMar>
              <w:top w:w="0" w:type="dxa"/>
              <w:left w:w="150" w:type="dxa"/>
              <w:bottom w:w="0" w:type="dxa"/>
              <w:right w:w="150" w:type="dxa"/>
            </w:tcMar>
          </w:tcPr>
          <w:p w14:paraId="0F67E227" w14:textId="02667BFA" w:rsidR="00FA3CBD" w:rsidRPr="00434E60" w:rsidRDefault="00FA3CBD" w:rsidP="00FD011C">
            <w:pPr>
              <w:pBdr>
                <w:top w:val="nil"/>
                <w:left w:val="nil"/>
                <w:bottom w:val="nil"/>
                <w:right w:val="nil"/>
                <w:between w:val="nil"/>
              </w:pBdr>
              <w:spacing w:line="240" w:lineRule="auto"/>
              <w:ind w:right="-63"/>
              <w:rPr>
                <w:rFonts w:asciiTheme="majorBidi" w:hAnsiTheme="majorBidi" w:cstheme="majorBidi"/>
                <w:sz w:val="21"/>
                <w:szCs w:val="21"/>
              </w:rPr>
            </w:pPr>
            <w:r w:rsidRPr="00FA3CBD">
              <w:rPr>
                <w:rFonts w:asciiTheme="majorBidi" w:hAnsiTheme="majorBidi" w:cstheme="majorBidi"/>
                <w:sz w:val="21"/>
                <w:szCs w:val="21"/>
              </w:rPr>
              <w:t>concerning her who is in menstrual infirmity</w:t>
            </w:r>
          </w:p>
        </w:tc>
        <w:tc>
          <w:tcPr>
            <w:tcW w:w="2790" w:type="dxa"/>
            <w:tcBorders>
              <w:left w:val="double" w:sz="6" w:space="0" w:color="auto"/>
            </w:tcBorders>
            <w:shd w:val="clear" w:color="auto" w:fill="FFFFFF"/>
          </w:tcPr>
          <w:p w14:paraId="1F5B9AC8" w14:textId="2F2891B4" w:rsidR="00FA3CBD" w:rsidRPr="00434E60" w:rsidRDefault="00FA3CBD" w:rsidP="00FD011C">
            <w:pPr>
              <w:pBdr>
                <w:top w:val="nil"/>
                <w:left w:val="nil"/>
                <w:bottom w:val="nil"/>
                <w:right w:val="nil"/>
                <w:between w:val="nil"/>
              </w:pBdr>
              <w:spacing w:line="240" w:lineRule="auto"/>
              <w:ind w:right="-63"/>
              <w:rPr>
                <w:rFonts w:asciiTheme="majorBidi" w:hAnsiTheme="majorBidi" w:cstheme="majorBidi"/>
                <w:sz w:val="21"/>
                <w:szCs w:val="21"/>
              </w:rPr>
            </w:pPr>
            <w:r w:rsidRPr="00FA3CBD">
              <w:rPr>
                <w:rFonts w:asciiTheme="majorBidi" w:hAnsiTheme="majorBidi" w:cstheme="majorBidi"/>
                <w:sz w:val="21"/>
                <w:szCs w:val="21"/>
              </w:rPr>
              <w:t xml:space="preserve">for her who is in the infirmity of her </w:t>
            </w:r>
            <w:r w:rsidR="00E64924">
              <w:rPr>
                <w:rFonts w:asciiTheme="majorBidi" w:hAnsiTheme="majorBidi" w:cstheme="majorBidi"/>
                <w:sz w:val="21"/>
                <w:szCs w:val="21"/>
              </w:rPr>
              <w:t xml:space="preserve">menstrual </w:t>
            </w:r>
            <w:r w:rsidRPr="00FA3CBD">
              <w:rPr>
                <w:rFonts w:asciiTheme="majorBidi" w:hAnsiTheme="majorBidi" w:cstheme="majorBidi"/>
                <w:sz w:val="21"/>
                <w:szCs w:val="21"/>
              </w:rPr>
              <w:t>period</w:t>
            </w:r>
          </w:p>
        </w:tc>
      </w:tr>
      <w:tr w:rsidR="00530D99" w:rsidRPr="00E13BD5" w14:paraId="18861130" w14:textId="77777777" w:rsidTr="00B26315">
        <w:tc>
          <w:tcPr>
            <w:tcW w:w="1430" w:type="dxa"/>
            <w:shd w:val="clear" w:color="auto" w:fill="FFFFFF"/>
            <w:tcMar>
              <w:top w:w="0" w:type="dxa"/>
              <w:left w:w="150" w:type="dxa"/>
              <w:bottom w:w="0" w:type="dxa"/>
              <w:right w:w="150" w:type="dxa"/>
            </w:tcMar>
          </w:tcPr>
          <w:p w14:paraId="1E632F35"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Num. 1.4</w:t>
            </w:r>
          </w:p>
        </w:tc>
        <w:tc>
          <w:tcPr>
            <w:tcW w:w="2790" w:type="dxa"/>
            <w:shd w:val="clear" w:color="auto" w:fill="FFFFFF"/>
          </w:tcPr>
          <w:p w14:paraId="3BFA0DD0" w14:textId="6BF5B84E"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sz w:val="21"/>
                <w:szCs w:val="21"/>
              </w:rPr>
              <w:t>a representative from every tribe</w:t>
            </w:r>
          </w:p>
        </w:tc>
        <w:tc>
          <w:tcPr>
            <w:tcW w:w="2790" w:type="dxa"/>
            <w:tcBorders>
              <w:right w:val="double" w:sz="6" w:space="0" w:color="auto"/>
            </w:tcBorders>
            <w:shd w:val="clear" w:color="auto" w:fill="FFFFFF"/>
            <w:tcMar>
              <w:top w:w="0" w:type="dxa"/>
              <w:left w:w="150" w:type="dxa"/>
              <w:bottom w:w="0" w:type="dxa"/>
              <w:right w:w="150" w:type="dxa"/>
            </w:tcMar>
          </w:tcPr>
          <w:p w14:paraId="5E16C61D" w14:textId="7824EF3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 xml:space="preserve">a </w:t>
            </w:r>
            <w:r w:rsidRPr="00434E60">
              <w:rPr>
                <w:rFonts w:asciiTheme="majorBidi" w:hAnsiTheme="majorBidi" w:cstheme="majorBidi"/>
                <w:iCs/>
                <w:sz w:val="21"/>
                <w:szCs w:val="21"/>
              </w:rPr>
              <w:t>man</w:t>
            </w:r>
            <w:r w:rsidRPr="00434E60">
              <w:rPr>
                <w:rFonts w:asciiTheme="majorBidi" w:hAnsiTheme="majorBidi" w:cstheme="majorBidi"/>
                <w:sz w:val="21"/>
                <w:szCs w:val="21"/>
              </w:rPr>
              <w:t xml:space="preserve"> from each tribe</w:t>
            </w:r>
          </w:p>
        </w:tc>
        <w:tc>
          <w:tcPr>
            <w:tcW w:w="2790" w:type="dxa"/>
            <w:tcBorders>
              <w:left w:val="double" w:sz="6" w:space="0" w:color="auto"/>
            </w:tcBorders>
            <w:shd w:val="clear" w:color="auto" w:fill="FFFFFF"/>
          </w:tcPr>
          <w:p w14:paraId="2ABB39C7"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A man from each tribe</w:t>
            </w:r>
          </w:p>
        </w:tc>
      </w:tr>
      <w:tr w:rsidR="00530D99" w:rsidRPr="00E13BD5" w14:paraId="10097237" w14:textId="77777777" w:rsidTr="00B26315">
        <w:tc>
          <w:tcPr>
            <w:tcW w:w="1430" w:type="dxa"/>
            <w:shd w:val="clear" w:color="auto" w:fill="FFFFFF"/>
            <w:tcMar>
              <w:top w:w="0" w:type="dxa"/>
              <w:left w:w="150" w:type="dxa"/>
              <w:bottom w:w="0" w:type="dxa"/>
              <w:right w:w="150" w:type="dxa"/>
            </w:tcMar>
          </w:tcPr>
          <w:p w14:paraId="6A4E1236"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Num. 26.7</w:t>
            </w:r>
          </w:p>
        </w:tc>
        <w:tc>
          <w:tcPr>
            <w:tcW w:w="2790" w:type="dxa"/>
            <w:shd w:val="clear" w:color="auto" w:fill="FFFFFF"/>
          </w:tcPr>
          <w:p w14:paraId="6691E070" w14:textId="4CAC871D"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the men enrolled</w:t>
            </w:r>
          </w:p>
        </w:tc>
        <w:tc>
          <w:tcPr>
            <w:tcW w:w="2790" w:type="dxa"/>
            <w:tcBorders>
              <w:right w:val="double" w:sz="6" w:space="0" w:color="auto"/>
            </w:tcBorders>
            <w:shd w:val="clear" w:color="auto" w:fill="FFFFFF"/>
            <w:tcMar>
              <w:top w:w="0" w:type="dxa"/>
              <w:left w:w="150" w:type="dxa"/>
              <w:bottom w:w="0" w:type="dxa"/>
              <w:right w:w="150" w:type="dxa"/>
            </w:tcMar>
          </w:tcPr>
          <w:p w14:paraId="501D8F29" w14:textId="02F0AFB8"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i/>
                <w:sz w:val="21"/>
                <w:szCs w:val="21"/>
              </w:rPr>
            </w:pPr>
            <w:r w:rsidRPr="00434E60">
              <w:rPr>
                <w:rFonts w:asciiTheme="majorBidi" w:hAnsiTheme="majorBidi" w:cstheme="majorBidi"/>
                <w:sz w:val="21"/>
                <w:szCs w:val="21"/>
              </w:rPr>
              <w:t xml:space="preserve">the </w:t>
            </w:r>
            <w:r w:rsidRPr="00434E60">
              <w:rPr>
                <w:rFonts w:asciiTheme="majorBidi" w:hAnsiTheme="majorBidi" w:cstheme="majorBidi"/>
                <w:iCs/>
                <w:sz w:val="21"/>
                <w:szCs w:val="21"/>
              </w:rPr>
              <w:t>persons</w:t>
            </w:r>
            <w:r w:rsidRPr="00434E60">
              <w:rPr>
                <w:rFonts w:asciiTheme="majorBidi" w:hAnsiTheme="majorBidi" w:cstheme="majorBidi"/>
                <w:sz w:val="21"/>
                <w:szCs w:val="21"/>
              </w:rPr>
              <w:t xml:space="preserve"> enrolled</w:t>
            </w:r>
          </w:p>
        </w:tc>
        <w:tc>
          <w:tcPr>
            <w:tcW w:w="2790" w:type="dxa"/>
            <w:tcBorders>
              <w:left w:val="double" w:sz="6" w:space="0" w:color="auto"/>
            </w:tcBorders>
            <w:shd w:val="clear" w:color="auto" w:fill="FFFFFF"/>
          </w:tcPr>
          <w:p w14:paraId="190A072A"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those enrolled</w:t>
            </w:r>
          </w:p>
        </w:tc>
      </w:tr>
      <w:tr w:rsidR="00530D99" w:rsidRPr="00E13BD5" w14:paraId="4EDD35D6" w14:textId="77777777" w:rsidTr="00B26315">
        <w:tc>
          <w:tcPr>
            <w:tcW w:w="1430" w:type="dxa"/>
            <w:shd w:val="clear" w:color="auto" w:fill="FFFFFF"/>
            <w:tcMar>
              <w:top w:w="0" w:type="dxa"/>
              <w:left w:w="150" w:type="dxa"/>
              <w:bottom w:w="0" w:type="dxa"/>
              <w:right w:w="150" w:type="dxa"/>
            </w:tcMar>
          </w:tcPr>
          <w:p w14:paraId="556F6E43"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color w:val="000000"/>
                <w:sz w:val="21"/>
                <w:szCs w:val="21"/>
              </w:rPr>
              <w:t>Num. 36.6</w:t>
            </w:r>
          </w:p>
        </w:tc>
        <w:tc>
          <w:tcPr>
            <w:tcW w:w="2790" w:type="dxa"/>
            <w:shd w:val="clear" w:color="auto" w:fill="FFFFFF"/>
          </w:tcPr>
          <w:p w14:paraId="36191AE0" w14:textId="11C84A44"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color w:val="000000"/>
                <w:sz w:val="21"/>
                <w:szCs w:val="21"/>
              </w:rPr>
            </w:pPr>
            <w:r w:rsidRPr="00434E60">
              <w:rPr>
                <w:rFonts w:asciiTheme="majorBidi" w:hAnsiTheme="majorBidi" w:cstheme="majorBidi"/>
                <w:color w:val="000000"/>
                <w:sz w:val="21"/>
                <w:szCs w:val="21"/>
              </w:rPr>
              <w:t>They may become the wives of anyone they wish</w:t>
            </w:r>
          </w:p>
        </w:tc>
        <w:tc>
          <w:tcPr>
            <w:tcW w:w="2790" w:type="dxa"/>
            <w:tcBorders>
              <w:right w:val="double" w:sz="6" w:space="0" w:color="auto"/>
            </w:tcBorders>
            <w:shd w:val="clear" w:color="auto" w:fill="FFFFFF"/>
            <w:tcMar>
              <w:top w:w="0" w:type="dxa"/>
              <w:left w:w="150" w:type="dxa"/>
              <w:bottom w:w="0" w:type="dxa"/>
              <w:right w:w="150" w:type="dxa"/>
            </w:tcMar>
          </w:tcPr>
          <w:p w14:paraId="2EE5E8B7" w14:textId="055C042E"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color w:val="000000"/>
                <w:sz w:val="21"/>
                <w:szCs w:val="21"/>
              </w:rPr>
              <w:t>They may marry anyone they wish</w:t>
            </w:r>
          </w:p>
        </w:tc>
        <w:tc>
          <w:tcPr>
            <w:tcW w:w="2790" w:type="dxa"/>
            <w:tcBorders>
              <w:left w:val="double" w:sz="6" w:space="0" w:color="auto"/>
            </w:tcBorders>
            <w:shd w:val="clear" w:color="auto" w:fill="FFFFFF"/>
          </w:tcPr>
          <w:p w14:paraId="451D8F4B"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color w:val="000000"/>
                <w:sz w:val="21"/>
                <w:szCs w:val="21"/>
              </w:rPr>
            </w:pPr>
            <w:r w:rsidRPr="00434E60">
              <w:rPr>
                <w:rFonts w:asciiTheme="majorBidi" w:hAnsiTheme="majorBidi" w:cstheme="majorBidi"/>
                <w:color w:val="000000"/>
                <w:sz w:val="21"/>
                <w:szCs w:val="21"/>
              </w:rPr>
              <w:t>Let them marry whom they think best</w:t>
            </w:r>
          </w:p>
        </w:tc>
      </w:tr>
      <w:tr w:rsidR="00530D99" w:rsidRPr="00E13BD5" w14:paraId="3F16D001" w14:textId="77777777" w:rsidTr="00B26315">
        <w:tc>
          <w:tcPr>
            <w:tcW w:w="1430" w:type="dxa"/>
            <w:shd w:val="clear" w:color="auto" w:fill="FFFFFF"/>
            <w:tcMar>
              <w:top w:w="0" w:type="dxa"/>
              <w:left w:w="150" w:type="dxa"/>
              <w:bottom w:w="0" w:type="dxa"/>
              <w:right w:w="150" w:type="dxa"/>
            </w:tcMar>
          </w:tcPr>
          <w:p w14:paraId="176725D7"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Deut. 11.21</w:t>
            </w:r>
          </w:p>
        </w:tc>
        <w:tc>
          <w:tcPr>
            <w:tcW w:w="2790" w:type="dxa"/>
            <w:shd w:val="clear" w:color="auto" w:fill="FFFFFF"/>
          </w:tcPr>
          <w:p w14:paraId="4337A122" w14:textId="4BD5C74D"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iCs/>
                <w:sz w:val="21"/>
                <w:szCs w:val="21"/>
              </w:rPr>
            </w:pPr>
            <w:r w:rsidRPr="00434E60">
              <w:rPr>
                <w:sz w:val="21"/>
                <w:szCs w:val="21"/>
              </w:rPr>
              <w:t xml:space="preserve">the land that </w:t>
            </w:r>
            <w:r w:rsidRPr="00434E60">
              <w:rPr>
                <w:rStyle w:val="ndnd-SpecialText-NameofDeity"/>
                <w:smallCaps/>
                <w:sz w:val="21"/>
                <w:szCs w:val="21"/>
                <w:u w:val="none"/>
              </w:rPr>
              <w:t>God</w:t>
            </w:r>
            <w:r w:rsidRPr="00434E60">
              <w:rPr>
                <w:sz w:val="21"/>
                <w:szCs w:val="21"/>
              </w:rPr>
              <w:t xml:space="preserve"> swore to your fathers</w:t>
            </w:r>
            <w:r w:rsidRPr="00434E60">
              <w:rPr>
                <w:rFonts w:asciiTheme="majorBidi" w:hAnsiTheme="majorBidi" w:cstheme="majorBidi"/>
                <w:iCs/>
                <w:sz w:val="21"/>
                <w:szCs w:val="21"/>
              </w:rPr>
              <w:t xml:space="preserve"> to assign to them</w:t>
            </w:r>
          </w:p>
        </w:tc>
        <w:tc>
          <w:tcPr>
            <w:tcW w:w="2790" w:type="dxa"/>
            <w:tcBorders>
              <w:right w:val="double" w:sz="6" w:space="0" w:color="auto"/>
            </w:tcBorders>
            <w:shd w:val="clear" w:color="auto" w:fill="FFFFFF"/>
            <w:tcMar>
              <w:top w:w="0" w:type="dxa"/>
              <w:left w:w="150" w:type="dxa"/>
              <w:bottom w:w="0" w:type="dxa"/>
              <w:right w:w="150" w:type="dxa"/>
            </w:tcMar>
          </w:tcPr>
          <w:p w14:paraId="6B236D70" w14:textId="7C28C5C2"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iCs/>
                <w:sz w:val="21"/>
                <w:szCs w:val="21"/>
              </w:rPr>
            </w:pPr>
            <w:r w:rsidRPr="00434E60">
              <w:rPr>
                <w:rFonts w:asciiTheme="majorBidi" w:hAnsiTheme="majorBidi" w:cstheme="majorBidi"/>
                <w:iCs/>
                <w:sz w:val="21"/>
                <w:szCs w:val="21"/>
              </w:rPr>
              <w:t>the land that the L</w:t>
            </w:r>
            <w:r w:rsidRPr="00434E60">
              <w:rPr>
                <w:rFonts w:asciiTheme="majorBidi" w:hAnsiTheme="majorBidi" w:cstheme="majorBidi"/>
                <w:iCs/>
                <w:smallCaps/>
                <w:sz w:val="21"/>
                <w:szCs w:val="21"/>
              </w:rPr>
              <w:t>ord</w:t>
            </w:r>
            <w:r w:rsidRPr="00434E60">
              <w:rPr>
                <w:rFonts w:asciiTheme="majorBidi" w:hAnsiTheme="majorBidi" w:cstheme="majorBidi"/>
                <w:iCs/>
                <w:sz w:val="21"/>
                <w:szCs w:val="21"/>
              </w:rPr>
              <w:t xml:space="preserve"> swore to your fathers to assign to them</w:t>
            </w:r>
          </w:p>
        </w:tc>
        <w:tc>
          <w:tcPr>
            <w:tcW w:w="2790" w:type="dxa"/>
            <w:tcBorders>
              <w:left w:val="double" w:sz="6" w:space="0" w:color="auto"/>
            </w:tcBorders>
            <w:shd w:val="clear" w:color="auto" w:fill="FFFFFF"/>
          </w:tcPr>
          <w:p w14:paraId="492A54B4"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 xml:space="preserve">the land that the </w:t>
            </w:r>
            <w:r w:rsidRPr="00434E60">
              <w:rPr>
                <w:rFonts w:asciiTheme="majorBidi" w:hAnsiTheme="majorBidi" w:cstheme="majorBidi"/>
                <w:iCs/>
                <w:sz w:val="21"/>
                <w:szCs w:val="21"/>
              </w:rPr>
              <w:t>L</w:t>
            </w:r>
            <w:r w:rsidRPr="00434E60">
              <w:rPr>
                <w:rFonts w:asciiTheme="majorBidi" w:hAnsiTheme="majorBidi" w:cstheme="majorBidi"/>
                <w:iCs/>
                <w:smallCaps/>
                <w:sz w:val="21"/>
                <w:szCs w:val="21"/>
              </w:rPr>
              <w:t>ord</w:t>
            </w:r>
            <w:r w:rsidRPr="00434E60">
              <w:rPr>
                <w:rFonts w:asciiTheme="majorBidi" w:hAnsiTheme="majorBidi" w:cstheme="majorBidi"/>
                <w:iCs/>
                <w:sz w:val="21"/>
                <w:szCs w:val="21"/>
              </w:rPr>
              <w:t xml:space="preserve"> </w:t>
            </w:r>
            <w:r w:rsidRPr="00434E60">
              <w:rPr>
                <w:rFonts w:asciiTheme="majorBidi" w:hAnsiTheme="majorBidi" w:cstheme="majorBidi"/>
                <w:sz w:val="21"/>
                <w:szCs w:val="21"/>
              </w:rPr>
              <w:t>swore to your ancestors to give them</w:t>
            </w:r>
          </w:p>
        </w:tc>
      </w:tr>
      <w:tr w:rsidR="00530D99" w:rsidRPr="00E13BD5" w14:paraId="5231FD68" w14:textId="77777777" w:rsidTr="00B26315">
        <w:tc>
          <w:tcPr>
            <w:tcW w:w="1430" w:type="dxa"/>
            <w:shd w:val="clear" w:color="auto" w:fill="FFFFFF"/>
            <w:tcMar>
              <w:top w:w="0" w:type="dxa"/>
              <w:left w:w="150" w:type="dxa"/>
              <w:bottom w:w="0" w:type="dxa"/>
              <w:right w:w="150" w:type="dxa"/>
            </w:tcMar>
          </w:tcPr>
          <w:p w14:paraId="69368B68"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Deut. 23.25</w:t>
            </w:r>
          </w:p>
        </w:tc>
        <w:tc>
          <w:tcPr>
            <w:tcW w:w="2790" w:type="dxa"/>
            <w:shd w:val="clear" w:color="auto" w:fill="FFFFFF"/>
          </w:tcPr>
          <w:p w14:paraId="0FD65615" w14:textId="634BC271"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a fellow Israelite</w:t>
            </w:r>
            <w:r w:rsidRPr="00B45606">
              <w:rPr>
                <w:rFonts w:asciiTheme="majorBidi" w:hAnsiTheme="majorBidi" w:cstheme="majorBidi"/>
                <w:sz w:val="21"/>
                <w:szCs w:val="21"/>
              </w:rPr>
              <w:t>’s v</w:t>
            </w:r>
            <w:r w:rsidRPr="00434E60">
              <w:rPr>
                <w:rFonts w:asciiTheme="majorBidi" w:hAnsiTheme="majorBidi" w:cstheme="majorBidi"/>
                <w:sz w:val="21"/>
                <w:szCs w:val="21"/>
              </w:rPr>
              <w:t>ineyard</w:t>
            </w:r>
          </w:p>
        </w:tc>
        <w:tc>
          <w:tcPr>
            <w:tcW w:w="2790" w:type="dxa"/>
            <w:tcBorders>
              <w:right w:val="double" w:sz="6" w:space="0" w:color="auto"/>
            </w:tcBorders>
            <w:shd w:val="clear" w:color="auto" w:fill="FFFFFF"/>
            <w:tcMar>
              <w:top w:w="0" w:type="dxa"/>
              <w:left w:w="150" w:type="dxa"/>
              <w:bottom w:w="0" w:type="dxa"/>
              <w:right w:w="150" w:type="dxa"/>
            </w:tcMar>
          </w:tcPr>
          <w:p w14:paraId="6C8EF4D6" w14:textId="482D605B"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 xml:space="preserve">another </w:t>
            </w:r>
            <w:r w:rsidRPr="00434E60">
              <w:rPr>
                <w:rFonts w:asciiTheme="majorBidi" w:hAnsiTheme="majorBidi" w:cstheme="majorBidi"/>
                <w:iCs/>
                <w:sz w:val="21"/>
                <w:szCs w:val="21"/>
              </w:rPr>
              <w:t>man</w:t>
            </w:r>
            <w:r w:rsidRPr="00B45606">
              <w:rPr>
                <w:rFonts w:asciiTheme="majorBidi" w:hAnsiTheme="majorBidi" w:cstheme="majorBidi"/>
                <w:iCs/>
                <w:sz w:val="21"/>
                <w:szCs w:val="21"/>
              </w:rPr>
              <w:t>’s</w:t>
            </w:r>
            <w:r w:rsidRPr="00B45606">
              <w:rPr>
                <w:rFonts w:asciiTheme="majorBidi" w:hAnsiTheme="majorBidi" w:cstheme="majorBidi"/>
                <w:sz w:val="21"/>
                <w:szCs w:val="21"/>
              </w:rPr>
              <w:t xml:space="preserve"> v</w:t>
            </w:r>
            <w:r w:rsidRPr="00434E60">
              <w:rPr>
                <w:rFonts w:asciiTheme="majorBidi" w:hAnsiTheme="majorBidi" w:cstheme="majorBidi"/>
                <w:sz w:val="21"/>
                <w:szCs w:val="21"/>
              </w:rPr>
              <w:t>ineyard</w:t>
            </w:r>
          </w:p>
        </w:tc>
        <w:tc>
          <w:tcPr>
            <w:tcW w:w="2790" w:type="dxa"/>
            <w:tcBorders>
              <w:left w:val="double" w:sz="6" w:space="0" w:color="auto"/>
            </w:tcBorders>
            <w:shd w:val="clear" w:color="auto" w:fill="FFFFFF"/>
          </w:tcPr>
          <w:p w14:paraId="4353B0B3"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your neighbor</w:t>
            </w:r>
            <w:r w:rsidRPr="00B45606">
              <w:rPr>
                <w:rFonts w:asciiTheme="majorBidi" w:hAnsiTheme="majorBidi" w:cstheme="majorBidi"/>
                <w:sz w:val="21"/>
                <w:szCs w:val="21"/>
              </w:rPr>
              <w:t>’s v</w:t>
            </w:r>
            <w:r w:rsidRPr="00434E60">
              <w:rPr>
                <w:rFonts w:asciiTheme="majorBidi" w:hAnsiTheme="majorBidi" w:cstheme="majorBidi"/>
                <w:sz w:val="21"/>
                <w:szCs w:val="21"/>
              </w:rPr>
              <w:t>ineyard</w:t>
            </w:r>
          </w:p>
        </w:tc>
      </w:tr>
      <w:tr w:rsidR="009364E3" w:rsidRPr="00E13BD5" w14:paraId="627A772C" w14:textId="77777777" w:rsidTr="00B26315">
        <w:tc>
          <w:tcPr>
            <w:tcW w:w="1430" w:type="dxa"/>
            <w:shd w:val="clear" w:color="auto" w:fill="FFFFFF"/>
            <w:tcMar>
              <w:top w:w="0" w:type="dxa"/>
              <w:left w:w="150" w:type="dxa"/>
              <w:bottom w:w="0" w:type="dxa"/>
              <w:right w:w="150" w:type="dxa"/>
            </w:tcMar>
          </w:tcPr>
          <w:p w14:paraId="21CD3449" w14:textId="675CDE66" w:rsidR="009364E3" w:rsidRPr="00434E60" w:rsidRDefault="009364E3" w:rsidP="00FD011C">
            <w:pPr>
              <w:pBdr>
                <w:top w:val="nil"/>
                <w:left w:val="nil"/>
                <w:bottom w:val="nil"/>
                <w:right w:val="nil"/>
                <w:between w:val="nil"/>
              </w:pBdr>
              <w:spacing w:line="240" w:lineRule="auto"/>
              <w:ind w:right="-63"/>
              <w:rPr>
                <w:rFonts w:asciiTheme="majorBidi" w:hAnsiTheme="majorBidi" w:cstheme="majorBidi"/>
                <w:sz w:val="21"/>
                <w:szCs w:val="21"/>
              </w:rPr>
            </w:pPr>
            <w:r w:rsidRPr="009364E3">
              <w:rPr>
                <w:rFonts w:asciiTheme="majorBidi" w:hAnsiTheme="majorBidi" w:cstheme="majorBidi"/>
                <w:sz w:val="21"/>
                <w:szCs w:val="21"/>
              </w:rPr>
              <w:t>Josh. 23.10</w:t>
            </w:r>
          </w:p>
        </w:tc>
        <w:tc>
          <w:tcPr>
            <w:tcW w:w="2790" w:type="dxa"/>
            <w:shd w:val="clear" w:color="auto" w:fill="FFFFFF"/>
          </w:tcPr>
          <w:p w14:paraId="585B981B" w14:textId="45EF8950" w:rsidR="009364E3" w:rsidRPr="00434E60" w:rsidRDefault="009364E3" w:rsidP="00FD011C">
            <w:pPr>
              <w:pBdr>
                <w:top w:val="nil"/>
                <w:left w:val="nil"/>
                <w:bottom w:val="nil"/>
                <w:right w:val="nil"/>
                <w:between w:val="nil"/>
              </w:pBdr>
              <w:spacing w:line="240" w:lineRule="auto"/>
              <w:ind w:right="-63"/>
              <w:rPr>
                <w:rFonts w:asciiTheme="majorBidi" w:hAnsiTheme="majorBidi" w:cstheme="majorBidi"/>
                <w:sz w:val="21"/>
                <w:szCs w:val="21"/>
              </w:rPr>
            </w:pPr>
            <w:r w:rsidRPr="009364E3">
              <w:rPr>
                <w:rFonts w:asciiTheme="majorBidi" w:hAnsiTheme="majorBidi" w:cstheme="majorBidi"/>
                <w:sz w:val="21"/>
                <w:szCs w:val="21"/>
              </w:rPr>
              <w:t xml:space="preserve">A single </w:t>
            </w:r>
            <w:r w:rsidR="00A04D89">
              <w:rPr>
                <w:rFonts w:asciiTheme="majorBidi" w:hAnsiTheme="majorBidi" w:cstheme="majorBidi"/>
                <w:sz w:val="21"/>
                <w:szCs w:val="21"/>
              </w:rPr>
              <w:t>one</w:t>
            </w:r>
            <w:r w:rsidRPr="009364E3">
              <w:rPr>
                <w:rFonts w:asciiTheme="majorBidi" w:hAnsiTheme="majorBidi" w:cstheme="majorBidi"/>
                <w:sz w:val="21"/>
                <w:szCs w:val="21"/>
              </w:rPr>
              <w:t xml:space="preserve"> of you</w:t>
            </w:r>
          </w:p>
        </w:tc>
        <w:tc>
          <w:tcPr>
            <w:tcW w:w="2790" w:type="dxa"/>
            <w:tcBorders>
              <w:right w:val="double" w:sz="6" w:space="0" w:color="auto"/>
            </w:tcBorders>
            <w:shd w:val="clear" w:color="auto" w:fill="FFFFFF"/>
            <w:tcMar>
              <w:top w:w="0" w:type="dxa"/>
              <w:left w:w="150" w:type="dxa"/>
              <w:bottom w:w="0" w:type="dxa"/>
              <w:right w:w="150" w:type="dxa"/>
            </w:tcMar>
          </w:tcPr>
          <w:p w14:paraId="4CE71781" w14:textId="3C2AE780" w:rsidR="009364E3" w:rsidRPr="00434E60" w:rsidRDefault="009364E3" w:rsidP="00FD011C">
            <w:pPr>
              <w:pBdr>
                <w:top w:val="nil"/>
                <w:left w:val="nil"/>
                <w:bottom w:val="nil"/>
                <w:right w:val="nil"/>
                <w:between w:val="nil"/>
              </w:pBdr>
              <w:spacing w:line="240" w:lineRule="auto"/>
              <w:ind w:right="-63"/>
              <w:rPr>
                <w:rFonts w:asciiTheme="majorBidi" w:hAnsiTheme="majorBidi" w:cstheme="majorBidi"/>
                <w:sz w:val="21"/>
                <w:szCs w:val="21"/>
              </w:rPr>
            </w:pPr>
            <w:r w:rsidRPr="009364E3">
              <w:rPr>
                <w:rFonts w:asciiTheme="majorBidi" w:hAnsiTheme="majorBidi" w:cstheme="majorBidi"/>
                <w:sz w:val="21"/>
                <w:szCs w:val="21"/>
              </w:rPr>
              <w:t>A single man of you</w:t>
            </w:r>
          </w:p>
        </w:tc>
        <w:tc>
          <w:tcPr>
            <w:tcW w:w="2790" w:type="dxa"/>
            <w:tcBorders>
              <w:left w:val="double" w:sz="6" w:space="0" w:color="auto"/>
            </w:tcBorders>
            <w:shd w:val="clear" w:color="auto" w:fill="FFFFFF"/>
          </w:tcPr>
          <w:p w14:paraId="587D8595" w14:textId="3B7D20D0" w:rsidR="009364E3" w:rsidRPr="00434E60" w:rsidRDefault="009364E3" w:rsidP="00FD011C">
            <w:pPr>
              <w:pBdr>
                <w:top w:val="nil"/>
                <w:left w:val="nil"/>
                <w:bottom w:val="nil"/>
                <w:right w:val="nil"/>
                <w:between w:val="nil"/>
              </w:pBdr>
              <w:spacing w:line="240" w:lineRule="auto"/>
              <w:ind w:right="-63"/>
              <w:rPr>
                <w:rFonts w:asciiTheme="majorBidi" w:hAnsiTheme="majorBidi" w:cstheme="majorBidi"/>
                <w:sz w:val="21"/>
                <w:szCs w:val="21"/>
              </w:rPr>
            </w:pPr>
            <w:r w:rsidRPr="009364E3">
              <w:rPr>
                <w:rFonts w:asciiTheme="majorBidi" w:hAnsiTheme="majorBidi" w:cstheme="majorBidi"/>
                <w:sz w:val="21"/>
                <w:szCs w:val="21"/>
              </w:rPr>
              <w:t>One of you</w:t>
            </w:r>
          </w:p>
        </w:tc>
      </w:tr>
      <w:tr w:rsidR="00530D99" w:rsidRPr="00E13BD5" w14:paraId="52AFF1C6" w14:textId="77777777" w:rsidTr="00B26315">
        <w:tc>
          <w:tcPr>
            <w:tcW w:w="1430" w:type="dxa"/>
            <w:shd w:val="clear" w:color="auto" w:fill="FFFFFF"/>
            <w:tcMar>
              <w:top w:w="0" w:type="dxa"/>
              <w:left w:w="150" w:type="dxa"/>
              <w:bottom w:w="0" w:type="dxa"/>
              <w:right w:w="150" w:type="dxa"/>
            </w:tcMar>
          </w:tcPr>
          <w:p w14:paraId="17FF4FB3"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Judg. 8.1</w:t>
            </w:r>
          </w:p>
        </w:tc>
        <w:tc>
          <w:tcPr>
            <w:tcW w:w="2790" w:type="dxa"/>
            <w:shd w:val="clear" w:color="auto" w:fill="FFFFFF"/>
          </w:tcPr>
          <w:p w14:paraId="124A21E5" w14:textId="0590BD8B"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Ephraim</w:t>
            </w:r>
            <w:r w:rsidRPr="00B45606">
              <w:rPr>
                <w:rFonts w:asciiTheme="majorBidi" w:hAnsiTheme="majorBidi" w:cstheme="majorBidi"/>
                <w:sz w:val="21"/>
                <w:szCs w:val="21"/>
              </w:rPr>
              <w:t>’s d</w:t>
            </w:r>
            <w:r w:rsidRPr="00434E60">
              <w:rPr>
                <w:rFonts w:asciiTheme="majorBidi" w:hAnsiTheme="majorBidi" w:cstheme="majorBidi"/>
                <w:sz w:val="21"/>
                <w:szCs w:val="21"/>
              </w:rPr>
              <w:t>elegation said</w:t>
            </w:r>
          </w:p>
        </w:tc>
        <w:tc>
          <w:tcPr>
            <w:tcW w:w="2790" w:type="dxa"/>
            <w:tcBorders>
              <w:right w:val="double" w:sz="6" w:space="0" w:color="auto"/>
            </w:tcBorders>
            <w:shd w:val="clear" w:color="auto" w:fill="FFFFFF"/>
            <w:tcMar>
              <w:top w:w="0" w:type="dxa"/>
              <w:left w:w="150" w:type="dxa"/>
              <w:bottom w:w="0" w:type="dxa"/>
              <w:right w:w="150" w:type="dxa"/>
            </w:tcMar>
          </w:tcPr>
          <w:p w14:paraId="38A150A8" w14:textId="4B6239A4"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 the men of Ephraim said</w:t>
            </w:r>
          </w:p>
        </w:tc>
        <w:tc>
          <w:tcPr>
            <w:tcW w:w="2790" w:type="dxa"/>
            <w:tcBorders>
              <w:left w:val="double" w:sz="6" w:space="0" w:color="auto"/>
            </w:tcBorders>
            <w:shd w:val="clear" w:color="auto" w:fill="FFFFFF"/>
          </w:tcPr>
          <w:p w14:paraId="1FA01393"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the Ephraimites said</w:t>
            </w:r>
          </w:p>
        </w:tc>
      </w:tr>
      <w:tr w:rsidR="00530D99" w:rsidRPr="00E13BD5" w14:paraId="18F4E5E7" w14:textId="77777777" w:rsidTr="00B26315">
        <w:tc>
          <w:tcPr>
            <w:tcW w:w="1430" w:type="dxa"/>
            <w:shd w:val="clear" w:color="auto" w:fill="FFFFFF"/>
            <w:tcMar>
              <w:top w:w="0" w:type="dxa"/>
              <w:left w:w="150" w:type="dxa"/>
              <w:bottom w:w="0" w:type="dxa"/>
              <w:right w:w="150" w:type="dxa"/>
            </w:tcMar>
          </w:tcPr>
          <w:p w14:paraId="42DB1D09"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Judg</w:t>
            </w:r>
            <w:r>
              <w:rPr>
                <w:rFonts w:asciiTheme="majorBidi" w:hAnsiTheme="majorBidi" w:cstheme="majorBidi"/>
                <w:sz w:val="21"/>
                <w:szCs w:val="21"/>
              </w:rPr>
              <w:t>.</w:t>
            </w:r>
            <w:r w:rsidRPr="00434E60">
              <w:rPr>
                <w:rFonts w:asciiTheme="majorBidi" w:hAnsiTheme="majorBidi" w:cstheme="majorBidi"/>
                <w:sz w:val="21"/>
                <w:szCs w:val="21"/>
              </w:rPr>
              <w:t xml:space="preserve"> 13.6</w:t>
            </w:r>
          </w:p>
        </w:tc>
        <w:tc>
          <w:tcPr>
            <w:tcW w:w="2790" w:type="dxa"/>
            <w:shd w:val="clear" w:color="auto" w:fill="FFFFFF"/>
          </w:tcPr>
          <w:p w14:paraId="2E5AACA7" w14:textId="1CC43ADD"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An agent of God came to me</w:t>
            </w:r>
          </w:p>
        </w:tc>
        <w:tc>
          <w:tcPr>
            <w:tcW w:w="2790" w:type="dxa"/>
            <w:tcBorders>
              <w:right w:val="double" w:sz="6" w:space="0" w:color="auto"/>
            </w:tcBorders>
            <w:shd w:val="clear" w:color="auto" w:fill="FFFFFF"/>
            <w:tcMar>
              <w:top w:w="0" w:type="dxa"/>
              <w:left w:w="150" w:type="dxa"/>
              <w:bottom w:w="0" w:type="dxa"/>
              <w:right w:w="150" w:type="dxa"/>
            </w:tcMar>
          </w:tcPr>
          <w:p w14:paraId="6AF5AF85" w14:textId="41031573"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sz w:val="21"/>
                <w:szCs w:val="21"/>
              </w:rPr>
              <w:t>A man of God came to me</w:t>
            </w:r>
          </w:p>
        </w:tc>
        <w:tc>
          <w:tcPr>
            <w:tcW w:w="2790" w:type="dxa"/>
            <w:tcBorders>
              <w:left w:val="double" w:sz="6" w:space="0" w:color="auto"/>
            </w:tcBorders>
            <w:shd w:val="clear" w:color="auto" w:fill="FFFFFF"/>
          </w:tcPr>
          <w:p w14:paraId="6E5B6591"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sz w:val="21"/>
                <w:szCs w:val="21"/>
              </w:rPr>
              <w:t>A man of God came to me</w:t>
            </w:r>
          </w:p>
        </w:tc>
      </w:tr>
      <w:tr w:rsidR="00530D99" w:rsidRPr="00E13BD5" w14:paraId="14A2A737" w14:textId="77777777" w:rsidTr="00B26315">
        <w:tc>
          <w:tcPr>
            <w:tcW w:w="1430" w:type="dxa"/>
            <w:shd w:val="clear" w:color="auto" w:fill="FFFFFF"/>
            <w:tcMar>
              <w:top w:w="0" w:type="dxa"/>
              <w:left w:w="150" w:type="dxa"/>
              <w:bottom w:w="0" w:type="dxa"/>
              <w:right w:w="150" w:type="dxa"/>
            </w:tcMar>
          </w:tcPr>
          <w:p w14:paraId="06248339"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Judg. 14.1</w:t>
            </w:r>
          </w:p>
        </w:tc>
        <w:tc>
          <w:tcPr>
            <w:tcW w:w="2790" w:type="dxa"/>
            <w:shd w:val="clear" w:color="auto" w:fill="FFFFFF"/>
          </w:tcPr>
          <w:p w14:paraId="3F2D9178" w14:textId="2F13010F"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he noticed a certain young Philistine woman</w:t>
            </w:r>
          </w:p>
        </w:tc>
        <w:tc>
          <w:tcPr>
            <w:tcW w:w="2790" w:type="dxa"/>
            <w:tcBorders>
              <w:right w:val="double" w:sz="6" w:space="0" w:color="auto"/>
            </w:tcBorders>
            <w:shd w:val="clear" w:color="auto" w:fill="FFFFFF"/>
            <w:tcMar>
              <w:top w:w="0" w:type="dxa"/>
              <w:left w:w="150" w:type="dxa"/>
              <w:bottom w:w="0" w:type="dxa"/>
              <w:right w:w="150" w:type="dxa"/>
            </w:tcMar>
          </w:tcPr>
          <w:p w14:paraId="41CACCF1" w14:textId="679E4E45"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sz w:val="21"/>
                <w:szCs w:val="21"/>
              </w:rPr>
              <w:t>he noticed a girl among the Philistine women</w:t>
            </w:r>
          </w:p>
        </w:tc>
        <w:tc>
          <w:tcPr>
            <w:tcW w:w="2790" w:type="dxa"/>
            <w:tcBorders>
              <w:left w:val="double" w:sz="6" w:space="0" w:color="auto"/>
            </w:tcBorders>
            <w:shd w:val="clear" w:color="auto" w:fill="FFFFFF"/>
          </w:tcPr>
          <w:p w14:paraId="1C250BF9"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he saw a Philistine woman</w:t>
            </w:r>
          </w:p>
        </w:tc>
      </w:tr>
      <w:tr w:rsidR="00530D99" w:rsidRPr="00E13BD5" w14:paraId="48E9A118" w14:textId="77777777" w:rsidTr="00B26315">
        <w:tc>
          <w:tcPr>
            <w:tcW w:w="1430" w:type="dxa"/>
            <w:shd w:val="clear" w:color="auto" w:fill="FFFFFF"/>
            <w:tcMar>
              <w:top w:w="0" w:type="dxa"/>
              <w:left w:w="150" w:type="dxa"/>
              <w:bottom w:w="0" w:type="dxa"/>
              <w:right w:w="150" w:type="dxa"/>
            </w:tcMar>
          </w:tcPr>
          <w:p w14:paraId="3EF5B87B"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Judg. 16.19</w:t>
            </w:r>
          </w:p>
        </w:tc>
        <w:tc>
          <w:tcPr>
            <w:tcW w:w="2790" w:type="dxa"/>
            <w:shd w:val="clear" w:color="auto" w:fill="FFFFFF"/>
          </w:tcPr>
          <w:p w14:paraId="790D139C" w14:textId="2FB3BEDE"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she called in someone else</w:t>
            </w:r>
          </w:p>
        </w:tc>
        <w:tc>
          <w:tcPr>
            <w:tcW w:w="2790" w:type="dxa"/>
            <w:tcBorders>
              <w:right w:val="double" w:sz="6" w:space="0" w:color="auto"/>
            </w:tcBorders>
            <w:shd w:val="clear" w:color="auto" w:fill="FFFFFF"/>
            <w:tcMar>
              <w:top w:w="0" w:type="dxa"/>
              <w:left w:w="150" w:type="dxa"/>
              <w:bottom w:w="0" w:type="dxa"/>
              <w:right w:w="150" w:type="dxa"/>
            </w:tcMar>
          </w:tcPr>
          <w:p w14:paraId="73B315CE" w14:textId="1D325A02"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she called in a man</w:t>
            </w:r>
          </w:p>
        </w:tc>
        <w:tc>
          <w:tcPr>
            <w:tcW w:w="2790" w:type="dxa"/>
            <w:tcBorders>
              <w:left w:val="double" w:sz="6" w:space="0" w:color="auto"/>
            </w:tcBorders>
            <w:shd w:val="clear" w:color="auto" w:fill="FFFFFF"/>
          </w:tcPr>
          <w:p w14:paraId="385878D9" w14:textId="5FFD8DB6"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sz w:val="21"/>
                <w:szCs w:val="21"/>
              </w:rPr>
              <w:t>she called a man</w:t>
            </w:r>
          </w:p>
        </w:tc>
      </w:tr>
      <w:tr w:rsidR="00735506" w:rsidRPr="00735506" w14:paraId="7C075C31" w14:textId="77777777" w:rsidTr="003628FE">
        <w:tc>
          <w:tcPr>
            <w:tcW w:w="1430" w:type="dxa"/>
            <w:shd w:val="clear" w:color="auto" w:fill="FFFFFF"/>
            <w:tcMar>
              <w:top w:w="0" w:type="dxa"/>
              <w:left w:w="150" w:type="dxa"/>
              <w:bottom w:w="0" w:type="dxa"/>
              <w:right w:w="150" w:type="dxa"/>
            </w:tcMar>
          </w:tcPr>
          <w:p w14:paraId="5611E57A" w14:textId="77777777" w:rsidR="00735506" w:rsidRPr="00735506" w:rsidRDefault="00735506" w:rsidP="003628FE">
            <w:pPr>
              <w:pBdr>
                <w:top w:val="nil"/>
                <w:left w:val="nil"/>
                <w:bottom w:val="nil"/>
                <w:right w:val="nil"/>
                <w:between w:val="nil"/>
              </w:pBdr>
              <w:spacing w:line="240" w:lineRule="auto"/>
              <w:ind w:right="-63"/>
              <w:rPr>
                <w:rFonts w:asciiTheme="majorBidi" w:hAnsiTheme="majorBidi" w:cstheme="majorBidi"/>
                <w:sz w:val="21"/>
                <w:szCs w:val="21"/>
              </w:rPr>
            </w:pPr>
            <w:r w:rsidRPr="00735506">
              <w:rPr>
                <w:rFonts w:asciiTheme="majorBidi" w:hAnsiTheme="majorBidi" w:cstheme="majorBidi"/>
                <w:sz w:val="21"/>
                <w:szCs w:val="21"/>
              </w:rPr>
              <w:t>1 Sam 11.12</w:t>
            </w:r>
          </w:p>
        </w:tc>
        <w:tc>
          <w:tcPr>
            <w:tcW w:w="2790" w:type="dxa"/>
            <w:shd w:val="clear" w:color="auto" w:fill="FFFFFF"/>
          </w:tcPr>
          <w:p w14:paraId="079D6E10" w14:textId="77777777" w:rsidR="00735506" w:rsidRPr="00735506" w:rsidRDefault="00735506" w:rsidP="003628FE">
            <w:pPr>
              <w:pBdr>
                <w:top w:val="nil"/>
                <w:left w:val="nil"/>
                <w:bottom w:val="nil"/>
                <w:right w:val="nil"/>
                <w:between w:val="nil"/>
              </w:pBdr>
              <w:spacing w:line="240" w:lineRule="auto"/>
              <w:ind w:right="-63"/>
              <w:rPr>
                <w:sz w:val="21"/>
                <w:szCs w:val="21"/>
              </w:rPr>
            </w:pPr>
            <w:r w:rsidRPr="00735506">
              <w:rPr>
                <w:sz w:val="21"/>
                <w:szCs w:val="21"/>
              </w:rPr>
              <w:t>Hand over those involved</w:t>
            </w:r>
          </w:p>
        </w:tc>
        <w:tc>
          <w:tcPr>
            <w:tcW w:w="2790" w:type="dxa"/>
            <w:tcBorders>
              <w:right w:val="double" w:sz="6" w:space="0" w:color="auto"/>
            </w:tcBorders>
            <w:shd w:val="clear" w:color="auto" w:fill="FFFFFF"/>
            <w:tcMar>
              <w:top w:w="0" w:type="dxa"/>
              <w:left w:w="150" w:type="dxa"/>
              <w:bottom w:w="0" w:type="dxa"/>
              <w:right w:w="150" w:type="dxa"/>
            </w:tcMar>
          </w:tcPr>
          <w:p w14:paraId="3D940F24" w14:textId="77777777" w:rsidR="00735506" w:rsidRPr="00735506" w:rsidRDefault="00735506" w:rsidP="003628FE">
            <w:pPr>
              <w:pBdr>
                <w:top w:val="nil"/>
                <w:left w:val="nil"/>
                <w:bottom w:val="nil"/>
                <w:right w:val="nil"/>
                <w:between w:val="nil"/>
              </w:pBdr>
              <w:spacing w:line="240" w:lineRule="auto"/>
              <w:ind w:right="-63"/>
              <w:rPr>
                <w:rFonts w:asciiTheme="majorBidi" w:hAnsiTheme="majorBidi" w:cstheme="majorBidi"/>
                <w:sz w:val="21"/>
                <w:szCs w:val="21"/>
              </w:rPr>
            </w:pPr>
            <w:r w:rsidRPr="00735506">
              <w:rPr>
                <w:sz w:val="21"/>
                <w:szCs w:val="21"/>
              </w:rPr>
              <w:t>Hand the men over</w:t>
            </w:r>
          </w:p>
        </w:tc>
        <w:tc>
          <w:tcPr>
            <w:tcW w:w="2790" w:type="dxa"/>
            <w:tcBorders>
              <w:left w:val="double" w:sz="6" w:space="0" w:color="auto"/>
            </w:tcBorders>
            <w:shd w:val="clear" w:color="auto" w:fill="FFFFFF"/>
          </w:tcPr>
          <w:p w14:paraId="74159BCF" w14:textId="77777777" w:rsidR="00735506" w:rsidRPr="00735506" w:rsidRDefault="00735506" w:rsidP="003628FE">
            <w:pPr>
              <w:pBdr>
                <w:top w:val="nil"/>
                <w:left w:val="nil"/>
                <w:bottom w:val="nil"/>
                <w:right w:val="nil"/>
                <w:between w:val="nil"/>
              </w:pBdr>
              <w:spacing w:line="240" w:lineRule="auto"/>
              <w:ind w:right="-63"/>
              <w:rPr>
                <w:rFonts w:asciiTheme="majorBidi" w:hAnsiTheme="majorBidi" w:cstheme="majorBidi"/>
                <w:sz w:val="21"/>
                <w:szCs w:val="21"/>
              </w:rPr>
            </w:pPr>
            <w:r w:rsidRPr="00735506">
              <w:rPr>
                <w:rFonts w:asciiTheme="majorBidi" w:hAnsiTheme="majorBidi" w:cstheme="majorBidi"/>
                <w:sz w:val="21"/>
                <w:szCs w:val="21"/>
              </w:rPr>
              <w:t>Give them to us</w:t>
            </w:r>
          </w:p>
        </w:tc>
      </w:tr>
      <w:tr w:rsidR="00530D99" w:rsidRPr="00E13BD5" w14:paraId="3CE9ABEA" w14:textId="77777777" w:rsidTr="00B26315">
        <w:tc>
          <w:tcPr>
            <w:tcW w:w="1430" w:type="dxa"/>
            <w:shd w:val="clear" w:color="auto" w:fill="FFFFFF"/>
            <w:tcMar>
              <w:top w:w="0" w:type="dxa"/>
              <w:left w:w="150" w:type="dxa"/>
              <w:bottom w:w="0" w:type="dxa"/>
              <w:right w:w="150" w:type="dxa"/>
            </w:tcMar>
          </w:tcPr>
          <w:p w14:paraId="45D5E238"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1 Kings 5.5</w:t>
            </w:r>
          </w:p>
        </w:tc>
        <w:tc>
          <w:tcPr>
            <w:tcW w:w="2790" w:type="dxa"/>
            <w:shd w:val="clear" w:color="auto" w:fill="FFFFFF"/>
          </w:tcPr>
          <w:p w14:paraId="3D5D6935" w14:textId="68D9133A"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every family under its own vine and fig tree</w:t>
            </w:r>
          </w:p>
        </w:tc>
        <w:tc>
          <w:tcPr>
            <w:tcW w:w="2790" w:type="dxa"/>
            <w:tcBorders>
              <w:right w:val="double" w:sz="6" w:space="0" w:color="auto"/>
            </w:tcBorders>
            <w:shd w:val="clear" w:color="auto" w:fill="FFFFFF"/>
            <w:tcMar>
              <w:top w:w="0" w:type="dxa"/>
              <w:left w:w="150" w:type="dxa"/>
              <w:bottom w:w="0" w:type="dxa"/>
              <w:right w:w="150" w:type="dxa"/>
            </w:tcMar>
          </w:tcPr>
          <w:p w14:paraId="395469A4" w14:textId="05B64ABA"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everyone under his own vine and under his own fig tree</w:t>
            </w:r>
          </w:p>
        </w:tc>
        <w:tc>
          <w:tcPr>
            <w:tcW w:w="2790" w:type="dxa"/>
            <w:tcBorders>
              <w:left w:val="double" w:sz="6" w:space="0" w:color="auto"/>
            </w:tcBorders>
            <w:shd w:val="clear" w:color="auto" w:fill="FFFFFF"/>
          </w:tcPr>
          <w:p w14:paraId="7665969C"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all of them under their vines and fig trees</w:t>
            </w:r>
          </w:p>
        </w:tc>
      </w:tr>
      <w:tr w:rsidR="00530D99" w:rsidRPr="00E13BD5" w14:paraId="2B750F96" w14:textId="77777777" w:rsidTr="00B26315">
        <w:tc>
          <w:tcPr>
            <w:tcW w:w="1430" w:type="dxa"/>
            <w:shd w:val="clear" w:color="auto" w:fill="FFFFFF"/>
            <w:tcMar>
              <w:top w:w="0" w:type="dxa"/>
              <w:left w:w="150" w:type="dxa"/>
              <w:bottom w:w="0" w:type="dxa"/>
              <w:right w:w="150" w:type="dxa"/>
            </w:tcMar>
          </w:tcPr>
          <w:p w14:paraId="6B74FAC9"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1 Kings 8.46</w:t>
            </w:r>
          </w:p>
        </w:tc>
        <w:tc>
          <w:tcPr>
            <w:tcW w:w="2790" w:type="dxa"/>
            <w:shd w:val="clear" w:color="auto" w:fill="FFFFFF"/>
          </w:tcPr>
          <w:p w14:paraId="041DF493" w14:textId="6AC385B0" w:rsidR="00530D99" w:rsidRPr="00434E60" w:rsidRDefault="00530D99" w:rsidP="00FD011C">
            <w:pPr>
              <w:pBdr>
                <w:top w:val="nil"/>
                <w:left w:val="nil"/>
                <w:bottom w:val="nil"/>
                <w:right w:val="nil"/>
                <w:between w:val="nil"/>
              </w:pBdr>
              <w:spacing w:line="240" w:lineRule="auto"/>
              <w:ind w:right="-63"/>
              <w:rPr>
                <w:sz w:val="21"/>
                <w:szCs w:val="21"/>
              </w:rPr>
            </w:pPr>
            <w:r w:rsidRPr="00434E60">
              <w:rPr>
                <w:rFonts w:asciiTheme="majorBidi" w:hAnsiTheme="majorBidi" w:cstheme="majorBidi"/>
                <w:sz w:val="21"/>
                <w:szCs w:val="21"/>
              </w:rPr>
              <w:t>for there is no mortal who does not sin</w:t>
            </w:r>
          </w:p>
        </w:tc>
        <w:tc>
          <w:tcPr>
            <w:tcW w:w="2790" w:type="dxa"/>
            <w:tcBorders>
              <w:right w:val="double" w:sz="6" w:space="0" w:color="auto"/>
            </w:tcBorders>
            <w:shd w:val="clear" w:color="auto" w:fill="FFFFFF"/>
            <w:tcMar>
              <w:top w:w="0" w:type="dxa"/>
              <w:left w:w="150" w:type="dxa"/>
              <w:bottom w:w="0" w:type="dxa"/>
              <w:right w:w="150" w:type="dxa"/>
            </w:tcMar>
          </w:tcPr>
          <w:p w14:paraId="01C5D581" w14:textId="4399F377"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for there is no man who does not sin</w:t>
            </w:r>
          </w:p>
        </w:tc>
        <w:tc>
          <w:tcPr>
            <w:tcW w:w="2790" w:type="dxa"/>
            <w:tcBorders>
              <w:left w:val="double" w:sz="6" w:space="0" w:color="auto"/>
            </w:tcBorders>
            <w:shd w:val="clear" w:color="auto" w:fill="FFFFFF"/>
          </w:tcPr>
          <w:p w14:paraId="1D9C594F"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for there is no one who does not sin</w:t>
            </w:r>
          </w:p>
        </w:tc>
      </w:tr>
      <w:tr w:rsidR="00530D99" w:rsidRPr="00E13BD5" w14:paraId="3A513926" w14:textId="77777777" w:rsidTr="00B26315">
        <w:tc>
          <w:tcPr>
            <w:tcW w:w="1430" w:type="dxa"/>
            <w:shd w:val="clear" w:color="auto" w:fill="FFFFFF"/>
            <w:tcMar>
              <w:top w:w="0" w:type="dxa"/>
              <w:left w:w="150" w:type="dxa"/>
              <w:bottom w:w="0" w:type="dxa"/>
              <w:right w:w="150" w:type="dxa"/>
            </w:tcMar>
          </w:tcPr>
          <w:p w14:paraId="44E3AF34"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1 Kings 22.40</w:t>
            </w:r>
          </w:p>
        </w:tc>
        <w:tc>
          <w:tcPr>
            <w:tcW w:w="2790" w:type="dxa"/>
            <w:shd w:val="clear" w:color="auto" w:fill="FFFFFF"/>
          </w:tcPr>
          <w:p w14:paraId="03F3C533" w14:textId="69ECA72C"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Ahab rested with his ancestors</w:t>
            </w:r>
          </w:p>
        </w:tc>
        <w:tc>
          <w:tcPr>
            <w:tcW w:w="2790" w:type="dxa"/>
            <w:tcBorders>
              <w:right w:val="double" w:sz="6" w:space="0" w:color="auto"/>
            </w:tcBorders>
            <w:shd w:val="clear" w:color="auto" w:fill="FFFFFF"/>
            <w:tcMar>
              <w:top w:w="0" w:type="dxa"/>
              <w:left w:w="150" w:type="dxa"/>
              <w:bottom w:w="0" w:type="dxa"/>
              <w:right w:w="150" w:type="dxa"/>
            </w:tcMar>
          </w:tcPr>
          <w:p w14:paraId="6DC54331" w14:textId="0C3C64CD"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Ahab slept with his fathers</w:t>
            </w:r>
          </w:p>
        </w:tc>
        <w:tc>
          <w:tcPr>
            <w:tcW w:w="2790" w:type="dxa"/>
            <w:tcBorders>
              <w:left w:val="double" w:sz="6" w:space="0" w:color="auto"/>
            </w:tcBorders>
            <w:shd w:val="clear" w:color="auto" w:fill="FFFFFF"/>
          </w:tcPr>
          <w:p w14:paraId="43AF9ED2" w14:textId="77777777"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proofErr w:type="gramStart"/>
            <w:r w:rsidRPr="00434E60">
              <w:rPr>
                <w:rFonts w:asciiTheme="majorBidi" w:hAnsiTheme="majorBidi" w:cstheme="majorBidi"/>
                <w:sz w:val="21"/>
                <w:szCs w:val="21"/>
              </w:rPr>
              <w:t>So</w:t>
            </w:r>
            <w:proofErr w:type="gramEnd"/>
            <w:r w:rsidRPr="00434E60">
              <w:rPr>
                <w:rFonts w:asciiTheme="majorBidi" w:hAnsiTheme="majorBidi" w:cstheme="majorBidi"/>
                <w:sz w:val="21"/>
                <w:szCs w:val="21"/>
              </w:rPr>
              <w:t xml:space="preserve"> Ahab slept with his ancestors</w:t>
            </w:r>
          </w:p>
        </w:tc>
      </w:tr>
      <w:tr w:rsidR="00530D99" w:rsidRPr="00E13BD5" w14:paraId="3BD8F8AC" w14:textId="77777777" w:rsidTr="00B26315">
        <w:tc>
          <w:tcPr>
            <w:tcW w:w="1430" w:type="dxa"/>
            <w:shd w:val="clear" w:color="auto" w:fill="FFFFFF"/>
            <w:tcMar>
              <w:top w:w="0" w:type="dxa"/>
              <w:left w:w="150" w:type="dxa"/>
              <w:bottom w:w="0" w:type="dxa"/>
              <w:right w:w="150" w:type="dxa"/>
            </w:tcMar>
          </w:tcPr>
          <w:p w14:paraId="061D8930" w14:textId="63AC45AF"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Prov. 31.10</w:t>
            </w:r>
          </w:p>
        </w:tc>
        <w:tc>
          <w:tcPr>
            <w:tcW w:w="2790" w:type="dxa"/>
            <w:shd w:val="clear" w:color="auto" w:fill="FFFFFF"/>
          </w:tcPr>
          <w:p w14:paraId="017A9E04" w14:textId="36D634F4"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How precious is a woman of substance!</w:t>
            </w:r>
          </w:p>
        </w:tc>
        <w:tc>
          <w:tcPr>
            <w:tcW w:w="2790" w:type="dxa"/>
            <w:tcBorders>
              <w:right w:val="double" w:sz="6" w:space="0" w:color="auto"/>
            </w:tcBorders>
            <w:shd w:val="clear" w:color="auto" w:fill="FFFFFF"/>
            <w:tcMar>
              <w:top w:w="0" w:type="dxa"/>
              <w:left w:w="150" w:type="dxa"/>
              <w:bottom w:w="0" w:type="dxa"/>
              <w:right w:w="150" w:type="dxa"/>
            </w:tcMar>
          </w:tcPr>
          <w:p w14:paraId="36249C6D" w14:textId="39E0D5E6" w:rsidR="00530D99" w:rsidRPr="00434E60" w:rsidRDefault="00530D99" w:rsidP="00FD011C">
            <w:pPr>
              <w:pBdr>
                <w:top w:val="nil"/>
                <w:left w:val="nil"/>
                <w:bottom w:val="nil"/>
                <w:right w:val="nil"/>
                <w:between w:val="nil"/>
              </w:pBdr>
              <w:spacing w:line="240" w:lineRule="auto"/>
              <w:ind w:right="-63"/>
              <w:rPr>
                <w:sz w:val="21"/>
                <w:szCs w:val="21"/>
              </w:rPr>
            </w:pPr>
            <w:r w:rsidRPr="00434E60">
              <w:rPr>
                <w:sz w:val="21"/>
                <w:szCs w:val="21"/>
              </w:rPr>
              <w:t>What a rare find is a capable wife!</w:t>
            </w:r>
          </w:p>
        </w:tc>
        <w:tc>
          <w:tcPr>
            <w:tcW w:w="2790" w:type="dxa"/>
            <w:tcBorders>
              <w:left w:val="double" w:sz="6" w:space="0" w:color="auto"/>
            </w:tcBorders>
            <w:shd w:val="clear" w:color="auto" w:fill="FFFFFF"/>
          </w:tcPr>
          <w:p w14:paraId="3591DEF6" w14:textId="36C5E975" w:rsidR="00530D99" w:rsidRPr="00434E60" w:rsidRDefault="00530D99" w:rsidP="00FD011C">
            <w:pPr>
              <w:pBdr>
                <w:top w:val="nil"/>
                <w:left w:val="nil"/>
                <w:bottom w:val="nil"/>
                <w:right w:val="nil"/>
                <w:between w:val="nil"/>
              </w:pBdr>
              <w:spacing w:line="240" w:lineRule="auto"/>
              <w:ind w:right="-63"/>
              <w:rPr>
                <w:rFonts w:asciiTheme="majorBidi" w:hAnsiTheme="majorBidi" w:cstheme="majorBidi"/>
                <w:sz w:val="21"/>
                <w:szCs w:val="21"/>
              </w:rPr>
            </w:pPr>
            <w:r w:rsidRPr="00434E60">
              <w:rPr>
                <w:rFonts w:asciiTheme="majorBidi" w:hAnsiTheme="majorBidi" w:cstheme="majorBidi"/>
                <w:sz w:val="21"/>
                <w:szCs w:val="21"/>
              </w:rPr>
              <w:t>A woman of strength who can find?</w:t>
            </w:r>
          </w:p>
        </w:tc>
      </w:tr>
    </w:tbl>
    <w:p w14:paraId="0BDDB36D" w14:textId="455F27D9" w:rsidR="008F13C2" w:rsidRDefault="008F13C2" w:rsidP="008F13C2">
      <w:pPr>
        <w:pStyle w:val="Standard1218justified"/>
        <w:rPr>
          <w:lang w:bidi="he-IL"/>
        </w:rPr>
      </w:pPr>
    </w:p>
    <w:p w14:paraId="3ED1BB38" w14:textId="77777777" w:rsidR="002023AE" w:rsidRPr="000E512B" w:rsidRDefault="002023AE" w:rsidP="002023AE">
      <w:pPr>
        <w:pStyle w:val="Heading3"/>
      </w:pPr>
      <w:r w:rsidRPr="00B45606">
        <w:t>L</w:t>
      </w:r>
      <w:r w:rsidRPr="000E512B">
        <w:t>ingering Uncertainties</w:t>
      </w:r>
    </w:p>
    <w:p w14:paraId="0F0821F2" w14:textId="05EADA42" w:rsidR="002023AE" w:rsidRDefault="002023AE" w:rsidP="002023AE">
      <w:pPr>
        <w:pStyle w:val="StandardFL"/>
      </w:pPr>
      <w:r>
        <w:t>Any claim to faithful translation of the Bible</w:t>
      </w:r>
      <w:r w:rsidRPr="000E512B">
        <w:t xml:space="preserve"> </w:t>
      </w:r>
      <w:r>
        <w:t xml:space="preserve">must face the fact that </w:t>
      </w:r>
      <w:r w:rsidRPr="000E512B">
        <w:t xml:space="preserve">biblical scholars </w:t>
      </w:r>
      <w:r>
        <w:t>today are far</w:t>
      </w:r>
      <w:r w:rsidRPr="000E512B">
        <w:t xml:space="preserve"> removed from</w:t>
      </w:r>
      <w:r>
        <w:t xml:space="preserve"> the linguistic and cultural world of</w:t>
      </w:r>
      <w:r w:rsidRPr="000E512B">
        <w:t xml:space="preserve"> </w:t>
      </w:r>
      <w:r w:rsidR="00206406">
        <w:t>a</w:t>
      </w:r>
      <w:r w:rsidRPr="000E512B">
        <w:t>ncient Israel</w:t>
      </w:r>
      <w:r>
        <w:t>. So just how close can the RJPS translators come to achieving their goal of gender accuracy? Two observations may help readers in making their own assessment</w:t>
      </w:r>
      <w:r w:rsidR="00206406">
        <w:t xml:space="preserve"> of the references to human beings</w:t>
      </w:r>
      <w:r>
        <w:t xml:space="preserve">. First, the systematic attempt to render gender accurately has shown that levels of confidence can be discerned, </w:t>
      </w:r>
      <w:r w:rsidR="00C360B5">
        <w:t>which vary by</w:t>
      </w:r>
      <w:r>
        <w:t xml:space="preserve"> the topic. For the vast majority of biblical passages, the </w:t>
      </w:r>
      <w:r w:rsidR="00C360B5">
        <w:t xml:space="preserve">usual evaluation </w:t>
      </w:r>
      <w:r>
        <w:t xml:space="preserve">process </w:t>
      </w:r>
      <w:r w:rsidR="00C360B5">
        <w:t>(namely,</w:t>
      </w:r>
      <w:r>
        <w:t xml:space="preserve"> taking into account the gender commonplaces of </w:t>
      </w:r>
      <w:r w:rsidR="00206406">
        <w:t>a</w:t>
      </w:r>
      <w:r>
        <w:t>ncient Israel,</w:t>
      </w:r>
      <w:r>
        <w:rPr>
          <w:rStyle w:val="FootnoteReference"/>
        </w:rPr>
        <w:footnoteReference w:id="42"/>
      </w:r>
      <w:r>
        <w:t xml:space="preserve"> while expect</w:t>
      </w:r>
      <w:r w:rsidR="00C360B5">
        <w:t>ing</w:t>
      </w:r>
      <w:r>
        <w:t xml:space="preserve"> that a text be informative and coherent</w:t>
      </w:r>
      <w:r w:rsidR="00C360B5">
        <w:t>)</w:t>
      </w:r>
      <w:r>
        <w:t xml:space="preserve"> succeeds in yielding a gender interpretation with high confidence. </w:t>
      </w:r>
      <w:r w:rsidR="00C360B5">
        <w:t>By and large there is little cause for doubt, and t</w:t>
      </w:r>
      <w:r>
        <w:t>hat is a noteworthy result.</w:t>
      </w:r>
    </w:p>
    <w:p w14:paraId="460B0925" w14:textId="6CF11875" w:rsidR="002023AE" w:rsidRDefault="002023AE" w:rsidP="002023AE">
      <w:pPr>
        <w:pStyle w:val="Standard1218justified"/>
      </w:pPr>
      <w:r>
        <w:t>Furthermore, with regard to gender, the translators’ choice of rendering is not equally weighted, because English prefers non-gendered wording.</w:t>
      </w:r>
      <w:r>
        <w:rPr>
          <w:rStyle w:val="FootnoteReference"/>
        </w:rPr>
        <w:footnoteReference w:id="43"/>
      </w:r>
      <w:r>
        <w:t xml:space="preserve"> Gendered renderings are warranted </w:t>
      </w:r>
      <w:r w:rsidRPr="00294EC8">
        <w:t>only</w:t>
      </w:r>
      <w:r>
        <w:t xml:space="preserve"> when strong evidence exists that the ancient audience had ample reason to believe that women were </w:t>
      </w:r>
      <w:r w:rsidRPr="005B390A">
        <w:rPr>
          <w:i/>
          <w:iCs/>
        </w:rPr>
        <w:t>not</w:t>
      </w:r>
      <w:r>
        <w:t xml:space="preserve"> in view.</w:t>
      </w:r>
      <w:r>
        <w:rPr>
          <w:rStyle w:val="FootnoteReference"/>
        </w:rPr>
        <w:footnoteReference w:id="44"/>
      </w:r>
      <w:r>
        <w:t xml:space="preserve"> Practically the only way for this translation </w:t>
      </w:r>
      <w:r w:rsidRPr="001907AA">
        <w:rPr>
          <w:i/>
          <w:iCs/>
        </w:rPr>
        <w:t>not</w:t>
      </w:r>
      <w:r>
        <w:t xml:space="preserve"> to be gender accurate in a given passage, therefore, is that either the referring expression had a conventional exclusionary meaning that since has been lost, or an otherwise-unrecognized social norm excluded women from view. It is left to the reader to assess the likelihood of those</w:t>
      </w:r>
      <w:r w:rsidR="00C360B5">
        <w:t xml:space="preserve"> two</w:t>
      </w:r>
      <w:r>
        <w:t xml:space="preserve"> possibilities in each case.</w:t>
      </w:r>
    </w:p>
    <w:p w14:paraId="306AAE2E" w14:textId="33B450F1" w:rsidR="002023AE" w:rsidRDefault="002023AE" w:rsidP="002023AE">
      <w:pPr>
        <w:pStyle w:val="Standard1218justified"/>
      </w:pPr>
      <w:r>
        <w:t xml:space="preserve">Taken together, these considerations suggest that only on limited occasions might this translation be affected by </w:t>
      </w:r>
      <w:r w:rsidR="00C360B5">
        <w:t xml:space="preserve">our </w:t>
      </w:r>
      <w:r>
        <w:t>present-day ignorance about either ancient Hebrew or the Israelite construction of gender. The present translators have sought to identify such cases and mark them with a footnote.</w:t>
      </w:r>
      <w:r w:rsidR="00C360B5">
        <w:rPr>
          <w:rStyle w:val="FootnoteReference"/>
        </w:rPr>
        <w:footnoteReference w:id="45"/>
      </w:r>
      <w:r>
        <w:t xml:space="preserve"> Happily, what remains unsure in such passages need not hinder our benefiting elsewhere from what is known with high confidence.</w:t>
      </w:r>
    </w:p>
    <w:p w14:paraId="07A8D71B" w14:textId="77777777" w:rsidR="002023AE" w:rsidRPr="00B45606" w:rsidRDefault="002023AE" w:rsidP="002023AE">
      <w:pPr>
        <w:pBdr>
          <w:top w:val="nil"/>
          <w:left w:val="nil"/>
          <w:bottom w:val="nil"/>
          <w:right w:val="nil"/>
          <w:between w:val="nil"/>
        </w:pBdr>
        <w:rPr>
          <w:rFonts w:asciiTheme="majorBidi" w:hAnsiTheme="majorBidi" w:cstheme="majorBidi"/>
          <w:color w:val="000000"/>
          <w:szCs w:val="24"/>
        </w:rPr>
      </w:pPr>
    </w:p>
    <w:p w14:paraId="693503EC" w14:textId="77777777" w:rsidR="00B72056" w:rsidRDefault="00B72056" w:rsidP="008F13C2">
      <w:pPr>
        <w:pStyle w:val="Standard1218justified"/>
        <w:rPr>
          <w:rFonts w:asciiTheme="majorBidi" w:hAnsiTheme="majorBidi" w:cstheme="majorBidi"/>
          <w:color w:val="000000"/>
        </w:rPr>
      </w:pPr>
    </w:p>
    <w:p w14:paraId="4A1255D7" w14:textId="00AFF423" w:rsidR="008F13C2" w:rsidRDefault="008F13C2" w:rsidP="008F13C2">
      <w:pPr>
        <w:pStyle w:val="Heading2"/>
      </w:pPr>
      <w:r>
        <w:t xml:space="preserve">REFERENCES TO </w:t>
      </w:r>
      <w:r w:rsidR="00193A80">
        <w:t>DIVINE BEINGS</w:t>
      </w:r>
    </w:p>
    <w:p w14:paraId="3C7405AD" w14:textId="24D2B0A7" w:rsidR="008F13C2" w:rsidRPr="00B45606" w:rsidRDefault="00193A80" w:rsidP="00195C32">
      <w:pPr>
        <w:pStyle w:val="Heading3"/>
        <w:spacing w:before="120"/>
      </w:pPr>
      <w:r w:rsidRPr="00B45606">
        <w:t xml:space="preserve">Israel’s God: </w:t>
      </w:r>
      <w:r w:rsidR="008F13C2" w:rsidRPr="00B45606">
        <w:t>The Case for Gender-Neutral Language</w:t>
      </w:r>
    </w:p>
    <w:p w14:paraId="5CA7EBF7" w14:textId="1917C895" w:rsidR="003A06F1" w:rsidRDefault="006F10B1" w:rsidP="002C79E9">
      <w:pPr>
        <w:pStyle w:val="StandardFL"/>
      </w:pPr>
      <w:r w:rsidRPr="00B45606">
        <w:t>D</w:t>
      </w:r>
      <w:r>
        <w:t>ue to our remove in time and culture, irreducible uncertainties exist regarding how the Bible</w:t>
      </w:r>
      <w:r w:rsidRPr="00B45606">
        <w:t>’s a</w:t>
      </w:r>
      <w:r>
        <w:t xml:space="preserve">ncient audience would have ascribed gender to the </w:t>
      </w:r>
      <w:r w:rsidR="00FB55AB">
        <w:t xml:space="preserve">persona </w:t>
      </w:r>
      <w:r>
        <w:t>of Israel</w:t>
      </w:r>
      <w:r w:rsidRPr="00B45606">
        <w:t>’s G</w:t>
      </w:r>
      <w:r>
        <w:t>od.</w:t>
      </w:r>
      <w:r w:rsidR="00123ACF">
        <w:rPr>
          <w:rStyle w:val="FootnoteReference"/>
        </w:rPr>
        <w:footnoteReference w:id="46"/>
      </w:r>
      <w:r>
        <w:t xml:space="preserve"> </w:t>
      </w:r>
      <w:r w:rsidR="003A06F1">
        <w:t>Scholars</w:t>
      </w:r>
      <w:r w:rsidR="003A06F1" w:rsidRPr="00050C05">
        <w:t xml:space="preserve"> cannot reach a firm conclusion about gender in ancient Israelite </w:t>
      </w:r>
      <w:r w:rsidR="003E7A76">
        <w:t>depictions</w:t>
      </w:r>
      <w:r w:rsidR="003A06F1" w:rsidRPr="00050C05">
        <w:t xml:space="preserve"> of the Bible</w:t>
      </w:r>
      <w:r w:rsidR="003A06F1" w:rsidRPr="00B45606">
        <w:t>’s d</w:t>
      </w:r>
      <w:r w:rsidR="003A06F1" w:rsidRPr="00050C05">
        <w:t xml:space="preserve">eity, </w:t>
      </w:r>
      <w:r w:rsidR="003E7A76">
        <w:t>because</w:t>
      </w:r>
      <w:r w:rsidR="003A06F1" w:rsidRPr="00050C05">
        <w:t xml:space="preserve"> nowhere does the Bible state outright that its deity</w:t>
      </w:r>
      <w:r w:rsidR="003A06F1" w:rsidRPr="00B45606">
        <w:t xml:space="preserve">’s </w:t>
      </w:r>
      <w:r w:rsidR="003E7A76">
        <w:t>persona</w:t>
      </w:r>
      <w:r w:rsidR="003A06F1" w:rsidRPr="00050C05">
        <w:t xml:space="preserve"> is or is not male. </w:t>
      </w:r>
      <w:r w:rsidR="003E7A76">
        <w:t>W</w:t>
      </w:r>
      <w:r w:rsidR="003A06F1" w:rsidRPr="00050C05">
        <w:t>e are left with</w:t>
      </w:r>
      <w:r w:rsidR="003E7A76">
        <w:t xml:space="preserve"> implications, which u</w:t>
      </w:r>
      <w:r w:rsidR="003E7A76" w:rsidRPr="00050C05">
        <w:t xml:space="preserve">ltimately </w:t>
      </w:r>
      <w:r w:rsidR="003E7A76">
        <w:t>are</w:t>
      </w:r>
      <w:r w:rsidR="003A06F1" w:rsidRPr="00050C05">
        <w:t xml:space="preserve"> arguments from silence. </w:t>
      </w:r>
    </w:p>
    <w:p w14:paraId="2ED5072E" w14:textId="67F56C81" w:rsidR="006F10B1" w:rsidRDefault="003E7A76" w:rsidP="003E7A76">
      <w:pPr>
        <w:pStyle w:val="Standard1218justified"/>
      </w:pPr>
      <w:r>
        <w:t>Yet i</w:t>
      </w:r>
      <w:r w:rsidR="006F10B1">
        <w:t>t is fair to say that</w:t>
      </w:r>
      <w:r w:rsidR="000E44B1">
        <w:t xml:space="preserve"> by</w:t>
      </w:r>
      <w:r w:rsidR="006F10B1">
        <w:t xml:space="preserve"> t</w:t>
      </w:r>
      <w:r w:rsidR="006F10B1" w:rsidRPr="001B2338">
        <w:t>he</w:t>
      </w:r>
      <w:r w:rsidR="000E44B1">
        <w:t xml:space="preserve"> time the</w:t>
      </w:r>
      <w:r w:rsidR="006F10B1">
        <w:t xml:space="preserve"> </w:t>
      </w:r>
      <w:r w:rsidR="006F10B1" w:rsidRPr="000E44B1">
        <w:t>Pentateuch</w:t>
      </w:r>
      <w:r w:rsidR="000E44B1">
        <w:t xml:space="preserve"> was promulgated (i.e., relatively early in the Bible’s canonization), its editors</w:t>
      </w:r>
      <w:r w:rsidR="006F10B1" w:rsidRPr="001B2338">
        <w:t xml:space="preserve"> had good reason to believe that the</w:t>
      </w:r>
      <w:r w:rsidR="006F10B1">
        <w:t>ir</w:t>
      </w:r>
      <w:r w:rsidR="006F10B1" w:rsidRPr="001B2338">
        <w:t xml:space="preserve"> ancient audience would construe its </w:t>
      </w:r>
      <w:r w:rsidR="006F10B1">
        <w:t>D</w:t>
      </w:r>
      <w:r w:rsidR="006F10B1" w:rsidRPr="001B2338">
        <w:t>eity</w:t>
      </w:r>
      <w:r w:rsidR="002C79E9">
        <w:t>’s persona</w:t>
      </w:r>
      <w:r w:rsidR="006F10B1" w:rsidRPr="001B2338">
        <w:t xml:space="preserve"> as </w:t>
      </w:r>
      <w:r w:rsidR="006F10B1" w:rsidRPr="00EE498F">
        <w:rPr>
          <w:i/>
          <w:iCs/>
        </w:rPr>
        <w:t>beyond gender</w:t>
      </w:r>
      <w:r w:rsidR="006F10B1" w:rsidRPr="001B2338">
        <w:t>.</w:t>
      </w:r>
      <w:r w:rsidR="006F10B1">
        <w:t xml:space="preserve"> As many observers have noted, nothing in t</w:t>
      </w:r>
      <w:r w:rsidR="006F10B1" w:rsidRPr="001B2338">
        <w:t xml:space="preserve">he </w:t>
      </w:r>
      <w:r w:rsidR="006F10B1">
        <w:t xml:space="preserve">Bible requires us to conclude that this </w:t>
      </w:r>
      <w:r w:rsidR="002C79E9">
        <w:t xml:space="preserve">persona </w:t>
      </w:r>
      <w:r w:rsidR="006F10B1">
        <w:t xml:space="preserve">is gendered. </w:t>
      </w:r>
      <w:r w:rsidR="002C79E9">
        <w:t>G</w:t>
      </w:r>
      <w:r w:rsidR="006F10B1" w:rsidRPr="001B2338">
        <w:t xml:space="preserve">rammatically masculine </w:t>
      </w:r>
      <w:r w:rsidR="006F10B1">
        <w:t xml:space="preserve">referring </w:t>
      </w:r>
      <w:r w:rsidR="006F10B1" w:rsidRPr="001B2338">
        <w:t>expressions</w:t>
      </w:r>
      <w:r w:rsidR="006F10B1">
        <w:t xml:space="preserve"> do not</w:t>
      </w:r>
      <w:r w:rsidR="006F10B1" w:rsidRPr="001B2338">
        <w:t xml:space="preserve"> require construing </w:t>
      </w:r>
      <w:r w:rsidR="002C79E9">
        <w:t>a persona</w:t>
      </w:r>
      <w:r w:rsidR="002C79E9" w:rsidRPr="001B2338">
        <w:t xml:space="preserve"> </w:t>
      </w:r>
      <w:r w:rsidR="006F10B1" w:rsidRPr="001B2338">
        <w:t>as male.</w:t>
      </w:r>
      <w:r w:rsidR="005B6CF4">
        <w:rPr>
          <w:rStyle w:val="FootnoteReference"/>
        </w:rPr>
        <w:footnoteReference w:id="47"/>
      </w:r>
      <w:r w:rsidR="006F10B1">
        <w:t xml:space="preserve"> Further, the biblical text never ascribes to God anatomical sex features or sexual activity, in contrast to some ancient Near Eastern literature about high gods</w:t>
      </w:r>
      <w:r w:rsidR="00205872">
        <w:t xml:space="preserve"> and goddesses</w:t>
      </w:r>
      <w:r w:rsidR="006F10B1">
        <w:t>.</w:t>
      </w:r>
      <w:r w:rsidR="006F10B1" w:rsidRPr="001B2338">
        <w:t xml:space="preserve"> </w:t>
      </w:r>
    </w:p>
    <w:p w14:paraId="308EC194" w14:textId="3B856420" w:rsidR="005E291B" w:rsidRDefault="006F10B1" w:rsidP="00A35D16">
      <w:pPr>
        <w:pStyle w:val="Standard1218justified"/>
      </w:pPr>
      <w:r>
        <w:t xml:space="preserve">Some scholars have asserted that the </w:t>
      </w:r>
      <w:r w:rsidR="00504B86">
        <w:t>Bible</w:t>
      </w:r>
      <w:r w:rsidR="00504B86" w:rsidRPr="00B45606">
        <w:t>’s a</w:t>
      </w:r>
      <w:r w:rsidR="00504B86">
        <w:t xml:space="preserve">pplication of </w:t>
      </w:r>
      <w:r w:rsidR="007D262E">
        <w:t>predominantly</w:t>
      </w:r>
      <w:r>
        <w:t xml:space="preserve"> manly imagery</w:t>
      </w:r>
      <w:r w:rsidR="003A06F1">
        <w:t xml:space="preserve"> for</w:t>
      </w:r>
      <w:r>
        <w:t xml:space="preserve"> Israel</w:t>
      </w:r>
      <w:r w:rsidRPr="00B45606">
        <w:t>’s G</w:t>
      </w:r>
      <w:r>
        <w:t xml:space="preserve">od shows that </w:t>
      </w:r>
      <w:r w:rsidR="00504B86">
        <w:t>it</w:t>
      </w:r>
      <w:r>
        <w:t>s composers though</w:t>
      </w:r>
      <w:r w:rsidR="00504B86">
        <w:t>t</w:t>
      </w:r>
      <w:r>
        <w:t xml:space="preserve"> of that </w:t>
      </w:r>
      <w:r w:rsidR="00CE2692">
        <w:t>d</w:t>
      </w:r>
      <w:r>
        <w:t>eit</w:t>
      </w:r>
      <w:r w:rsidR="007D262E">
        <w:t>y</w:t>
      </w:r>
      <w:r w:rsidR="00D41A88">
        <w:t>’s persona</w:t>
      </w:r>
      <w:r>
        <w:t xml:space="preserve"> as male. Yet </w:t>
      </w:r>
      <w:r w:rsidR="000E44B1">
        <w:t>this view does not withstand scrutiny. A</w:t>
      </w:r>
      <w:r w:rsidR="008F13C2" w:rsidRPr="00C03A20">
        <w:t>mpl</w:t>
      </w:r>
      <w:r w:rsidR="008F13C2">
        <w:t>e</w:t>
      </w:r>
      <w:r w:rsidR="008F13C2" w:rsidRPr="00C03A20">
        <w:t xml:space="preserve"> </w:t>
      </w:r>
      <w:r w:rsidR="008F13C2">
        <w:t>evidence shows</w:t>
      </w:r>
      <w:r w:rsidR="008F13C2" w:rsidRPr="00C03A20">
        <w:t xml:space="preserve"> that </w:t>
      </w:r>
      <w:r w:rsidR="008F13C2">
        <w:t xml:space="preserve">the </w:t>
      </w:r>
      <w:r w:rsidR="008F13C2" w:rsidRPr="00C03A20">
        <w:t xml:space="preserve">denizens </w:t>
      </w:r>
      <w:r w:rsidR="008F13C2">
        <w:t xml:space="preserve">of the </w:t>
      </w:r>
      <w:r w:rsidR="008F13C2" w:rsidRPr="00C03A20">
        <w:t>ancient Near East</w:t>
      </w:r>
      <w:r w:rsidR="00504B86">
        <w:t xml:space="preserve"> did not think</w:t>
      </w:r>
      <w:r w:rsidR="00D87C34">
        <w:t xml:space="preserve"> in</w:t>
      </w:r>
      <w:r w:rsidR="00504B86">
        <w:t xml:space="preserve"> that way</w:t>
      </w:r>
      <w:r w:rsidR="00D87C34">
        <w:t>; rather,</w:t>
      </w:r>
      <w:r w:rsidR="00504B86">
        <w:t xml:space="preserve"> they</w:t>
      </w:r>
      <w:r w:rsidR="008F13C2" w:rsidRPr="00C03A20">
        <w:t xml:space="preserve"> </w:t>
      </w:r>
      <w:r w:rsidR="00D41A88">
        <w:t>distinguished</w:t>
      </w:r>
      <w:r w:rsidR="008F13C2" w:rsidRPr="00C03A20">
        <w:t xml:space="preserve"> between</w:t>
      </w:r>
      <w:r w:rsidR="008F13C2">
        <w:t xml:space="preserve"> personas and the</w:t>
      </w:r>
      <w:r w:rsidR="008F13C2" w:rsidRPr="00C03A20">
        <w:t xml:space="preserve"> </w:t>
      </w:r>
      <w:r w:rsidR="008F13C2">
        <w:t>imagery</w:t>
      </w:r>
      <w:r w:rsidR="008F13C2" w:rsidRPr="00C03A20">
        <w:t xml:space="preserve"> </w:t>
      </w:r>
      <w:r w:rsidR="008F13C2">
        <w:t xml:space="preserve">that was </w:t>
      </w:r>
      <w:r w:rsidR="000E44B1">
        <w:t>employed in saying things</w:t>
      </w:r>
      <w:r w:rsidR="008F13C2">
        <w:t xml:space="preserve"> about them</w:t>
      </w:r>
      <w:r w:rsidR="008F13C2" w:rsidRPr="00C03A20">
        <w:t>.</w:t>
      </w:r>
      <w:r w:rsidR="008F13C2">
        <w:t xml:space="preserve"> </w:t>
      </w:r>
      <w:r w:rsidR="000E44B1">
        <w:t>For example, consider</w:t>
      </w:r>
      <w:r w:rsidR="00270B95">
        <w:t xml:space="preserve"> </w:t>
      </w:r>
      <w:r w:rsidR="008F13C2">
        <w:t xml:space="preserve">the </w:t>
      </w:r>
      <w:r w:rsidR="00270B95">
        <w:t>biblical</w:t>
      </w:r>
      <w:r w:rsidR="008F13C2">
        <w:t xml:space="preserve"> practice of referring to Israel</w:t>
      </w:r>
      <w:r w:rsidR="008F13C2" w:rsidRPr="00B45606">
        <w:t>’s G</w:t>
      </w:r>
      <w:r w:rsidR="008F13C2">
        <w:t xml:space="preserve">od with grammatically masculine inflections </w:t>
      </w:r>
      <w:r w:rsidR="007D262E">
        <w:t xml:space="preserve">even </w:t>
      </w:r>
      <w:r w:rsidR="008F13C2">
        <w:t xml:space="preserve">while </w:t>
      </w:r>
      <w:r w:rsidR="00270B95">
        <w:t xml:space="preserve">employing womanly metaphors—such as </w:t>
      </w:r>
      <w:r w:rsidR="008F13C2">
        <w:t xml:space="preserve">asserting that this deity served as a midwife (Ps. 22.10) and </w:t>
      </w:r>
      <w:r w:rsidR="00270B95">
        <w:t>as</w:t>
      </w:r>
      <w:r w:rsidR="008F13C2">
        <w:t xml:space="preserve"> presupposing </w:t>
      </w:r>
      <w:r w:rsidR="00621430">
        <w:t xml:space="preserve">that </w:t>
      </w:r>
      <w:r w:rsidR="008F13C2">
        <w:t>God</w:t>
      </w:r>
      <w:r w:rsidR="008F13C2" w:rsidRPr="00B45606">
        <w:t xml:space="preserve"> </w:t>
      </w:r>
      <w:r w:rsidR="00205872">
        <w:t>possesses</w:t>
      </w:r>
      <w:r w:rsidR="00621430">
        <w:t xml:space="preserve"> </w:t>
      </w:r>
      <w:r w:rsidR="008F13C2">
        <w:t>a womb (Isa. 46.3).</w:t>
      </w:r>
      <w:r w:rsidR="007956B7">
        <w:rPr>
          <w:rStyle w:val="FootnoteReference"/>
        </w:rPr>
        <w:footnoteReference w:id="48"/>
      </w:r>
      <w:r w:rsidR="008F13C2">
        <w:t xml:space="preserve"> </w:t>
      </w:r>
      <w:r w:rsidR="005E291B">
        <w:t xml:space="preserve">Given that the audience was obviously expected to distinguish between the Deity’s persona and </w:t>
      </w:r>
      <w:r w:rsidR="000E44B1">
        <w:rPr>
          <w:i/>
          <w:iCs/>
        </w:rPr>
        <w:t>womanly</w:t>
      </w:r>
      <w:r w:rsidR="005E291B">
        <w:t xml:space="preserve"> imagery, it stands to reason that </w:t>
      </w:r>
      <w:r w:rsidR="00EF1CD7">
        <w:t>a corresponding</w:t>
      </w:r>
      <w:r w:rsidR="008F13C2">
        <w:t xml:space="preserve"> distinction appl</w:t>
      </w:r>
      <w:r w:rsidR="00270B95">
        <w:t>ied</w:t>
      </w:r>
      <w:r w:rsidR="00125FBC">
        <w:t xml:space="preserve"> as well</w:t>
      </w:r>
      <w:r w:rsidR="008F13C2">
        <w:t xml:space="preserve"> to the </w:t>
      </w:r>
      <w:r w:rsidR="008F13C2" w:rsidRPr="00125FBC">
        <w:rPr>
          <w:i/>
          <w:iCs/>
        </w:rPr>
        <w:t>manly</w:t>
      </w:r>
      <w:r w:rsidR="008F13C2">
        <w:t xml:space="preserve"> </w:t>
      </w:r>
      <w:r w:rsidR="00270B95">
        <w:t>imagery</w:t>
      </w:r>
      <w:r w:rsidR="00125FBC">
        <w:t xml:space="preserve"> used elsewhere</w:t>
      </w:r>
      <w:r w:rsidR="008F13C2">
        <w:t>.</w:t>
      </w:r>
      <w:r w:rsidR="008A3327">
        <w:rPr>
          <w:rStyle w:val="FootnoteReference"/>
        </w:rPr>
        <w:footnoteReference w:id="49"/>
      </w:r>
      <w:r w:rsidR="008F13C2">
        <w:t xml:space="preserve"> </w:t>
      </w:r>
    </w:p>
    <w:p w14:paraId="72FA711D" w14:textId="01F5E30F" w:rsidR="007E0DF8" w:rsidRDefault="005E291B" w:rsidP="00A35D16">
      <w:pPr>
        <w:pStyle w:val="Standard1218justified"/>
      </w:pPr>
      <w:r>
        <w:t>T</w:t>
      </w:r>
      <w:r w:rsidR="000E44B1">
        <w:t>he existence of t</w:t>
      </w:r>
      <w:r>
        <w:t>his expectation</w:t>
      </w:r>
      <w:r w:rsidR="007E0DF8">
        <w:t xml:space="preserve"> (separating the persona from what is predicated about it)</w:t>
      </w:r>
      <w:r>
        <w:t xml:space="preserve"> is confirmed by the occasional biblical practice of describing God with both manly and womanly figures of speech within the same utterance. For example, a scene of the Deity’s making a racket is depicted in a complementary fashion</w:t>
      </w:r>
      <w:r w:rsidR="00125FBC">
        <w:t xml:space="preserve">, first with a </w:t>
      </w:r>
      <w:r w:rsidR="00D87C34">
        <w:t>manly</w:t>
      </w:r>
      <w:r w:rsidR="00125FBC">
        <w:t xml:space="preserve"> image and then with a </w:t>
      </w:r>
      <w:r w:rsidR="00D87C34">
        <w:t>womanly</w:t>
      </w:r>
      <w:r w:rsidR="00125FBC">
        <w:t xml:space="preserve"> one</w:t>
      </w:r>
      <w:r>
        <w:t>: “G</w:t>
      </w:r>
      <w:r w:rsidRPr="00097315">
        <w:rPr>
          <w:smallCaps/>
        </w:rPr>
        <w:t>od</w:t>
      </w:r>
      <w:r>
        <w:t xml:space="preserve"> goes forth like a warrior, … / </w:t>
      </w:r>
      <w:r w:rsidRPr="00A35D16">
        <w:t>Yelling, roaring aloud,</w:t>
      </w:r>
      <w:r>
        <w:t xml:space="preserve"> …  / ‘Now I will scream like a woman in labor…’” (Isa. 42.13–14).</w:t>
      </w:r>
      <w:r>
        <w:rPr>
          <w:rStyle w:val="FootnoteReference"/>
        </w:rPr>
        <w:footnoteReference w:id="50"/>
      </w:r>
      <w:r>
        <w:t xml:space="preserve"> </w:t>
      </w:r>
      <w:r w:rsidR="00125FBC">
        <w:t xml:space="preserve">That </w:t>
      </w:r>
      <w:r w:rsidR="00D87C34">
        <w:t xml:space="preserve">poetic </w:t>
      </w:r>
      <w:r w:rsidR="00125FBC">
        <w:t xml:space="preserve">passage makes </w:t>
      </w:r>
      <w:r w:rsidR="000E44B1">
        <w:t>the most</w:t>
      </w:r>
      <w:r w:rsidR="00125FBC">
        <w:t xml:space="preserve"> sense if the gender</w:t>
      </w:r>
      <w:r w:rsidR="00960078">
        <w:t xml:space="preserve"> </w:t>
      </w:r>
      <w:r w:rsidR="007E1DF7">
        <w:t>in</w:t>
      </w:r>
      <w:r w:rsidR="00960078">
        <w:t xml:space="preserve"> the</w:t>
      </w:r>
      <w:r w:rsidR="00125FBC">
        <w:t xml:space="preserve"> image</w:t>
      </w:r>
      <w:r w:rsidR="00D87C34">
        <w:t>s</w:t>
      </w:r>
      <w:r w:rsidR="00125FBC">
        <w:t xml:space="preserve"> is seen as distinct from the persona that </w:t>
      </w:r>
      <w:r w:rsidR="00D87C34">
        <w:t>they</w:t>
      </w:r>
      <w:r w:rsidR="00125FBC">
        <w:t xml:space="preserve"> inform.</w:t>
      </w:r>
    </w:p>
    <w:p w14:paraId="4A0A9F41" w14:textId="0877E78B" w:rsidR="008F13C2" w:rsidRDefault="00125FBC" w:rsidP="00A35D16">
      <w:pPr>
        <w:pStyle w:val="Standard1218justified"/>
      </w:pPr>
      <w:r>
        <w:t>In</w:t>
      </w:r>
      <w:r w:rsidR="00D87C34">
        <w:t>deed</w:t>
      </w:r>
      <w:r>
        <w:t xml:space="preserve">, </w:t>
      </w:r>
      <w:r w:rsidR="00EA2446">
        <w:t xml:space="preserve">such </w:t>
      </w:r>
      <w:r w:rsidR="00D64BE1">
        <w:t xml:space="preserve">presumed </w:t>
      </w:r>
      <w:r w:rsidR="00EA2446">
        <w:t xml:space="preserve">distinctions </w:t>
      </w:r>
      <w:r w:rsidR="00D64BE1">
        <w:t>are</w:t>
      </w:r>
      <w:r w:rsidR="00EA2446">
        <w:t xml:space="preserve"> </w:t>
      </w:r>
      <w:r w:rsidR="00E652C9">
        <w:t>in accord with</w:t>
      </w:r>
      <w:r w:rsidR="00EA2446">
        <w:t xml:space="preserve"> how people normally interpret</w:t>
      </w:r>
      <w:r w:rsidR="00E652C9">
        <w:t xml:space="preserve"> the plain sense of a</w:t>
      </w:r>
      <w:r w:rsidR="00EA2446">
        <w:t xml:space="preserve"> text. </w:t>
      </w:r>
      <w:r w:rsidR="00C8603F">
        <w:t>They</w:t>
      </w:r>
      <w:r w:rsidR="00EA2446">
        <w:t xml:space="preserve"> do so</w:t>
      </w:r>
      <w:r w:rsidR="00BF5249">
        <w:t xml:space="preserve"> </w:t>
      </w:r>
      <w:r w:rsidR="004271E4">
        <w:t>by</w:t>
      </w:r>
      <w:r w:rsidR="00BF5249">
        <w:t xml:space="preserve"> </w:t>
      </w:r>
      <w:r w:rsidR="008F13C2">
        <w:t>expect</w:t>
      </w:r>
      <w:r w:rsidR="004271E4">
        <w:t>ing</w:t>
      </w:r>
      <w:r w:rsidR="008F13C2">
        <w:t xml:space="preserve"> </w:t>
      </w:r>
      <w:r w:rsidR="004271E4">
        <w:t xml:space="preserve">both </w:t>
      </w:r>
      <w:r w:rsidR="00E652C9">
        <w:t>its</w:t>
      </w:r>
      <w:r w:rsidR="008A3327">
        <w:t xml:space="preserve"> wording</w:t>
      </w:r>
      <w:r w:rsidR="004271E4">
        <w:t xml:space="preserve"> and </w:t>
      </w:r>
      <w:r w:rsidR="00EA2446">
        <w:t>any</w:t>
      </w:r>
      <w:r w:rsidR="004271E4">
        <w:t xml:space="preserve"> characterizations to be</w:t>
      </w:r>
      <w:r w:rsidR="008F13C2">
        <w:t xml:space="preserve"> coheren</w:t>
      </w:r>
      <w:r w:rsidR="004271E4">
        <w:t>t</w:t>
      </w:r>
      <w:r w:rsidR="00E652C9">
        <w:t>—</w:t>
      </w:r>
      <w:r w:rsidR="00D9625D">
        <w:t xml:space="preserve">that is, </w:t>
      </w:r>
      <w:r w:rsidR="0099761A">
        <w:t>internally consistent</w:t>
      </w:r>
      <w:r w:rsidR="00EA2446">
        <w:t>. Given that fact</w:t>
      </w:r>
      <w:r w:rsidR="00EE5084">
        <w:t>,</w:t>
      </w:r>
      <w:r w:rsidR="008F13C2">
        <w:t xml:space="preserve"> the</w:t>
      </w:r>
      <w:r w:rsidR="00E652C9">
        <w:t xml:space="preserve"> Bible’s</w:t>
      </w:r>
      <w:r w:rsidR="004271E4">
        <w:t xml:space="preserve"> ancient audience</w:t>
      </w:r>
      <w:r w:rsidR="008F13C2">
        <w:t xml:space="preserve"> </w:t>
      </w:r>
      <w:r w:rsidR="00E652C9">
        <w:t xml:space="preserve">would predictably </w:t>
      </w:r>
      <w:r w:rsidR="008F13C2">
        <w:t xml:space="preserve">infer that </w:t>
      </w:r>
      <w:r w:rsidR="00FE02B5">
        <w:t>any</w:t>
      </w:r>
      <w:r w:rsidR="00E652C9">
        <w:t xml:space="preserve"> assertion about someone’s actions or nature is</w:t>
      </w:r>
      <w:r w:rsidR="008F13C2">
        <w:t xml:space="preserve"> </w:t>
      </w:r>
      <w:r w:rsidR="008F13C2" w:rsidRPr="009F4EA0">
        <w:rPr>
          <w:i/>
          <w:iCs/>
        </w:rPr>
        <w:t>not</w:t>
      </w:r>
      <w:r w:rsidR="008F13C2">
        <w:t xml:space="preserve"> </w:t>
      </w:r>
      <w:r w:rsidR="00E652C9">
        <w:t>to be taken as a claim</w:t>
      </w:r>
      <w:r w:rsidR="008F13C2">
        <w:t xml:space="preserve"> about</w:t>
      </w:r>
      <w:r w:rsidR="00FE02B5">
        <w:t xml:space="preserve"> the gender (or non-gender)</w:t>
      </w:r>
      <w:r w:rsidR="008F13C2">
        <w:t xml:space="preserve"> </w:t>
      </w:r>
      <w:r w:rsidR="00E652C9">
        <w:t>their already established</w:t>
      </w:r>
      <w:r w:rsidR="008F13C2" w:rsidRPr="00B45606">
        <w:t xml:space="preserve"> </w:t>
      </w:r>
      <w:r w:rsidR="00953386">
        <w:t>persona</w:t>
      </w:r>
      <w:r w:rsidR="00FE02B5">
        <w:t>, unless it is framed as a challenge thereto</w:t>
      </w:r>
      <w:r w:rsidR="008F13C2">
        <w:t>.</w:t>
      </w:r>
    </w:p>
    <w:p w14:paraId="39EB938C" w14:textId="72E7181D" w:rsidR="00E8016B" w:rsidRDefault="00A278E2" w:rsidP="00E8016B">
      <w:pPr>
        <w:pStyle w:val="Standard1218justified"/>
      </w:pPr>
      <w:r>
        <w:t>C</w:t>
      </w:r>
      <w:r w:rsidR="008F13C2">
        <w:t>rucially,</w:t>
      </w:r>
      <w:r>
        <w:t xml:space="preserve"> </w:t>
      </w:r>
      <w:r w:rsidR="000B0F88">
        <w:t>two</w:t>
      </w:r>
      <w:r>
        <w:t xml:space="preserve"> factors suggest that</w:t>
      </w:r>
      <w:r w:rsidR="008F13C2">
        <w:t xml:space="preserve"> t</w:t>
      </w:r>
      <w:r w:rsidR="008F13C2" w:rsidRPr="001B2338">
        <w:t xml:space="preserve">he </w:t>
      </w:r>
      <w:r w:rsidR="008F13C2">
        <w:t>Bible</w:t>
      </w:r>
      <w:r w:rsidR="008F13C2" w:rsidRPr="00B45606">
        <w:t>’s i</w:t>
      </w:r>
      <w:r w:rsidR="008F13C2" w:rsidRPr="001B2338">
        <w:t>nitial characterization</w:t>
      </w:r>
      <w:r w:rsidR="00881B0E">
        <w:t xml:space="preserve"> of its Deity—which is necessarily its</w:t>
      </w:r>
      <w:r w:rsidR="00881B0E" w:rsidRPr="001B2338">
        <w:t xml:space="preserve"> most telling</w:t>
      </w:r>
      <w:r w:rsidR="00881B0E">
        <w:t xml:space="preserve"> one—</w:t>
      </w:r>
      <w:r w:rsidR="008F13C2" w:rsidRPr="001B2338">
        <w:t>preclude</w:t>
      </w:r>
      <w:r w:rsidR="000B0F88">
        <w:t>s</w:t>
      </w:r>
      <w:r w:rsidR="008F13C2" w:rsidRPr="001B2338">
        <w:t xml:space="preserve"> a gendered reading of </w:t>
      </w:r>
      <w:r w:rsidR="00881B0E">
        <w:t>that</w:t>
      </w:r>
      <w:r w:rsidR="007E1DF7">
        <w:t xml:space="preserve"> same</w:t>
      </w:r>
      <w:r w:rsidR="008F13C2" w:rsidRPr="00B45606">
        <w:t xml:space="preserve"> </w:t>
      </w:r>
      <w:r w:rsidR="006F1A54">
        <w:t>persona</w:t>
      </w:r>
      <w:r w:rsidR="006F1A54" w:rsidRPr="001B2338">
        <w:t xml:space="preserve"> </w:t>
      </w:r>
      <w:r w:rsidR="008F13C2" w:rsidRPr="001B2338">
        <w:t>throughout the</w:t>
      </w:r>
      <w:r w:rsidR="001E56CD">
        <w:t xml:space="preserve"> </w:t>
      </w:r>
      <w:r w:rsidR="008F13C2">
        <w:t xml:space="preserve">canon. </w:t>
      </w:r>
      <w:r w:rsidR="000B0F88">
        <w:t>First, i</w:t>
      </w:r>
      <w:r w:rsidR="008F13C2">
        <w:t xml:space="preserve">n the </w:t>
      </w:r>
      <w:r w:rsidR="007E2D73">
        <w:t xml:space="preserve">creation account </w:t>
      </w:r>
      <w:r w:rsidR="007E1DF7">
        <w:t>at the start</w:t>
      </w:r>
      <w:r w:rsidR="008F13C2">
        <w:t xml:space="preserve"> of Genesis, the</w:t>
      </w:r>
      <w:r w:rsidR="008F13C2" w:rsidRPr="001B2338">
        <w:t xml:space="preserve"> protagonist</w:t>
      </w:r>
      <w:r w:rsidR="008F13C2">
        <w:t xml:space="preserve"> is </w:t>
      </w:r>
      <w:r w:rsidR="008F13C2" w:rsidRPr="001B2338">
        <w:t xml:space="preserve">rendered as a </w:t>
      </w:r>
      <w:proofErr w:type="spellStart"/>
      <w:r w:rsidR="008F13C2" w:rsidRPr="001B2338">
        <w:rPr>
          <w:i/>
          <w:iCs/>
        </w:rPr>
        <w:t>dramatis</w:t>
      </w:r>
      <w:proofErr w:type="spellEnd"/>
      <w:r w:rsidR="008F13C2" w:rsidRPr="001B2338">
        <w:rPr>
          <w:i/>
          <w:iCs/>
        </w:rPr>
        <w:t xml:space="preserve"> persona</w:t>
      </w:r>
      <w:r w:rsidR="008F13C2">
        <w:t xml:space="preserve"> but with muted </w:t>
      </w:r>
      <w:r w:rsidR="008F13C2" w:rsidRPr="001B2338">
        <w:t>personification</w:t>
      </w:r>
      <w:r w:rsidR="00E8016B">
        <w:t xml:space="preserve">. </w:t>
      </w:r>
      <w:r w:rsidR="00D87C34">
        <w:t xml:space="preserve">Conspicuously absent </w:t>
      </w:r>
      <w:r w:rsidR="007E2D73">
        <w:t>is</w:t>
      </w:r>
      <w:r w:rsidR="00D87C34">
        <w:t xml:space="preserve"> a</w:t>
      </w:r>
      <w:r w:rsidR="008F13C2" w:rsidRPr="001B2338">
        <w:t xml:space="preserve"> corporeal body</w:t>
      </w:r>
      <w:r w:rsidR="007E2D73">
        <w:t xml:space="preserve"> and a social role. I</w:t>
      </w:r>
      <w:r w:rsidR="008F13C2" w:rsidRPr="001B2338">
        <w:t>nterpersonal interactions</w:t>
      </w:r>
      <w:r w:rsidR="007E2D73">
        <w:t xml:space="preserve"> are</w:t>
      </w:r>
      <w:r w:rsidR="007E1DF7">
        <w:t xml:space="preserve"> likewise</w:t>
      </w:r>
      <w:r w:rsidR="007E2D73">
        <w:t xml:space="preserve"> limited</w:t>
      </w:r>
      <w:r w:rsidR="0054260F">
        <w:t>,</w:t>
      </w:r>
      <w:r w:rsidR="007E2D73">
        <w:t xml:space="preserve"> </w:t>
      </w:r>
      <w:r w:rsidR="007E1DF7">
        <w:t>and even</w:t>
      </w:r>
      <w:r w:rsidR="007E2D73">
        <w:t xml:space="preserve"> </w:t>
      </w:r>
      <w:r w:rsidR="0054260F">
        <w:t>the parties who are addressed lack</w:t>
      </w:r>
      <w:r w:rsidR="007E1DF7">
        <w:t xml:space="preserve"> any</w:t>
      </w:r>
      <w:r w:rsidR="0054260F">
        <w:t xml:space="preserve"> gender indications</w:t>
      </w:r>
      <w:r w:rsidR="008F13C2" w:rsidRPr="001B2338">
        <w:t>.</w:t>
      </w:r>
      <w:r w:rsidR="008F13C2">
        <w:t xml:space="preserve"> </w:t>
      </w:r>
      <w:proofErr w:type="gramStart"/>
      <w:r w:rsidR="0054260F">
        <w:t>Thus</w:t>
      </w:r>
      <w:proofErr w:type="gramEnd"/>
      <w:r w:rsidR="0054260F">
        <w:t xml:space="preserve"> i</w:t>
      </w:r>
      <w:r w:rsidR="009C42EB">
        <w:t>n this opening passage, the</w:t>
      </w:r>
      <w:r w:rsidR="00B830FD">
        <w:t xml:space="preserve"> </w:t>
      </w:r>
      <w:r w:rsidR="009C42EB">
        <w:t>D</w:t>
      </w:r>
      <w:r w:rsidR="00B830FD">
        <w:t>eity</w:t>
      </w:r>
      <w:r w:rsidR="00796390">
        <w:t xml:space="preserve"> </w:t>
      </w:r>
      <w:r w:rsidR="00D87C34">
        <w:t>remains</w:t>
      </w:r>
      <w:r w:rsidR="00B830FD">
        <w:t xml:space="preserve"> </w:t>
      </w:r>
      <w:r w:rsidR="00E8016B">
        <w:t>unlinked to</w:t>
      </w:r>
      <w:r w:rsidR="00B830FD">
        <w:t xml:space="preserve"> the</w:t>
      </w:r>
      <w:r w:rsidR="00586953">
        <w:t xml:space="preserve"> standard</w:t>
      </w:r>
      <w:r w:rsidR="00B830FD">
        <w:t xml:space="preserve"> notion of gender</w:t>
      </w:r>
      <w:r w:rsidR="00D87C34">
        <w:t xml:space="preserve"> and its</w:t>
      </w:r>
      <w:r w:rsidR="00B830FD">
        <w:t xml:space="preserve"> framework of complementary categories. </w:t>
      </w:r>
    </w:p>
    <w:p w14:paraId="757BFB3A" w14:textId="2557AF16" w:rsidR="00796390" w:rsidRDefault="00E8016B" w:rsidP="00E8016B">
      <w:pPr>
        <w:pStyle w:val="Standard1218justified"/>
      </w:pPr>
      <w:r>
        <w:t>Meanwhile,</w:t>
      </w:r>
      <w:r w:rsidRPr="001B2338">
        <w:t xml:space="preserve"> </w:t>
      </w:r>
      <w:r>
        <w:t>in that definitive introduct</w:t>
      </w:r>
      <w:r w:rsidR="00D87C34">
        <w:t>ion</w:t>
      </w:r>
      <w:r>
        <w:t xml:space="preserve">, </w:t>
      </w:r>
      <w:r w:rsidRPr="001B2338">
        <w:t>this persona accomplishes what no literal person</w:t>
      </w:r>
      <w:r>
        <w:t xml:space="preserve"> or other deity</w:t>
      </w:r>
      <w:r w:rsidRPr="001B2338">
        <w:t xml:space="preserve"> could</w:t>
      </w:r>
      <w:r w:rsidR="0033708D">
        <w:t xml:space="preserve"> conceivably</w:t>
      </w:r>
      <w:r w:rsidRPr="001B2338">
        <w:t xml:space="preserve"> do: organiz</w:t>
      </w:r>
      <w:r>
        <w:t>e</w:t>
      </w:r>
      <w:r w:rsidRPr="001B2338">
        <w:t xml:space="preserve"> the cosmos </w:t>
      </w:r>
      <w:r>
        <w:t>solely</w:t>
      </w:r>
      <w:r w:rsidRPr="001B2338">
        <w:t xml:space="preserve"> by </w:t>
      </w:r>
      <w:r w:rsidR="00582F29">
        <w:t>wishing it to be so</w:t>
      </w:r>
      <w:r>
        <w:t>. T</w:t>
      </w:r>
      <w:r w:rsidR="008F13C2">
        <w:t xml:space="preserve">his deity </w:t>
      </w:r>
      <w:r w:rsidR="00582F29">
        <w:t>was</w:t>
      </w:r>
      <w:r w:rsidR="00582F29" w:rsidRPr="001B2338">
        <w:t xml:space="preserve"> </w:t>
      </w:r>
      <w:r w:rsidR="008F13C2" w:rsidRPr="00097315">
        <w:rPr>
          <w:i/>
          <w:iCs/>
        </w:rPr>
        <w:t>so obviously unlike any known persona</w:t>
      </w:r>
      <w:r w:rsidR="008F13C2" w:rsidRPr="001B2338">
        <w:t xml:space="preserve"> that the </w:t>
      </w:r>
      <w:r w:rsidR="00582F29">
        <w:t xml:space="preserve">ancient </w:t>
      </w:r>
      <w:r w:rsidR="008F13C2" w:rsidRPr="001B2338">
        <w:t>audience</w:t>
      </w:r>
      <w:r w:rsidR="009C42EB">
        <w:t>, hearing that passage,</w:t>
      </w:r>
      <w:r w:rsidR="008F13C2" w:rsidRPr="001B2338">
        <w:t xml:space="preserve"> </w:t>
      </w:r>
      <w:r w:rsidR="008F13C2" w:rsidRPr="001B2338" w:rsidDel="002E3AA7">
        <w:t xml:space="preserve">would </w:t>
      </w:r>
      <w:r w:rsidR="00582F29">
        <w:t>have been</w:t>
      </w:r>
      <w:r w:rsidR="00582F29" w:rsidRPr="001B2338">
        <w:t xml:space="preserve"> </w:t>
      </w:r>
      <w:r w:rsidR="008F13C2" w:rsidRPr="001B2338">
        <w:t>hard pressed to ascribe</w:t>
      </w:r>
      <w:r w:rsidR="008F13C2">
        <w:t xml:space="preserve"> </w:t>
      </w:r>
      <w:r w:rsidR="008F13C2" w:rsidRPr="001B2338">
        <w:t>gender</w:t>
      </w:r>
      <w:r w:rsidR="0054260F">
        <w:t>—</w:t>
      </w:r>
      <w:r w:rsidR="009C42EB">
        <w:t xml:space="preserve">even </w:t>
      </w:r>
      <w:r w:rsidR="00796390">
        <w:t>by analogy</w:t>
      </w:r>
      <w:r>
        <w:t xml:space="preserve"> to </w:t>
      </w:r>
      <w:r w:rsidR="0033708D">
        <w:t>some</w:t>
      </w:r>
      <w:r>
        <w:t xml:space="preserve"> familiar figure</w:t>
      </w:r>
      <w:r w:rsidR="008F13C2" w:rsidRPr="001B2338">
        <w:t xml:space="preserve">. </w:t>
      </w:r>
    </w:p>
    <w:p w14:paraId="220F5685" w14:textId="0EEBC7B5" w:rsidR="008F13C2" w:rsidRDefault="008F13C2" w:rsidP="00796390">
      <w:pPr>
        <w:pStyle w:val="Standard1218justified"/>
      </w:pPr>
      <w:r>
        <w:t>Consequently, a</w:t>
      </w:r>
      <w:r w:rsidRPr="001B2338">
        <w:t xml:space="preserve"> </w:t>
      </w:r>
      <w:r>
        <w:t>likely</w:t>
      </w:r>
      <w:r w:rsidRPr="001B2338">
        <w:t xml:space="preserve"> ancient </w:t>
      </w:r>
      <w:r w:rsidR="00610B8B">
        <w:t>interpretation</w:t>
      </w:r>
      <w:r w:rsidRPr="001B2338">
        <w:t xml:space="preserve"> </w:t>
      </w:r>
      <w:r w:rsidR="00796390">
        <w:t xml:space="preserve">of </w:t>
      </w:r>
      <w:r>
        <w:t>Genesis 1 is</w:t>
      </w:r>
      <w:r w:rsidR="00796390">
        <w:t xml:space="preserve"> that it</w:t>
      </w:r>
      <w:r w:rsidR="006F1A54">
        <w:t xml:space="preserve"> was</w:t>
      </w:r>
      <w:r w:rsidRPr="001B2338" w:rsidDel="002E3AA7">
        <w:t xml:space="preserve"> introduc</w:t>
      </w:r>
      <w:r w:rsidR="006F1A54">
        <w:t>ing</w:t>
      </w:r>
      <w:r w:rsidRPr="001B2338">
        <w:t xml:space="preserve"> a deity whose breathtaking</w:t>
      </w:r>
      <w:r w:rsidRPr="002D7150">
        <w:t xml:space="preserve"> otherness</w:t>
      </w:r>
      <w:r>
        <w:t xml:space="preserve"> </w:t>
      </w:r>
      <w:r w:rsidR="009C42EB">
        <w:t xml:space="preserve">not only </w:t>
      </w:r>
      <w:r w:rsidRPr="002D7150">
        <w:t>resist</w:t>
      </w:r>
      <w:r w:rsidR="00582F29">
        <w:t>ed</w:t>
      </w:r>
      <w:r w:rsidRPr="002D7150">
        <w:t xml:space="preserve"> a</w:t>
      </w:r>
      <w:r>
        <w:t>ny</w:t>
      </w:r>
      <w:r w:rsidRPr="002D7150">
        <w:t xml:space="preserve"> gender categorization, </w:t>
      </w:r>
      <w:r w:rsidR="009C42EB">
        <w:t xml:space="preserve">but also </w:t>
      </w:r>
      <w:r w:rsidRPr="002D7150">
        <w:t xml:space="preserve">was intended </w:t>
      </w:r>
      <w:r w:rsidRPr="002D7150">
        <w:rPr>
          <w:i/>
        </w:rPr>
        <w:t>as a distinguishing feature</w:t>
      </w:r>
      <w:r w:rsidRPr="002D7150">
        <w:t xml:space="preserve">. </w:t>
      </w:r>
      <w:r w:rsidR="00586953">
        <w:t>And so, in</w:t>
      </w:r>
      <w:r w:rsidR="00610B8B">
        <w:t xml:space="preserve"> setting up</w:t>
      </w:r>
      <w:r w:rsidR="006F1A54">
        <w:t xml:space="preserve"> a canonical reading</w:t>
      </w:r>
      <w:r w:rsidR="00586953">
        <w:t xml:space="preserve"> of the rest of the Bible—according to the normal expectation of the continuity of a character’s identity—</w:t>
      </w:r>
      <w:r w:rsidR="006F1A54">
        <w:t>t</w:t>
      </w:r>
      <w:r>
        <w:t>his</w:t>
      </w:r>
      <w:r w:rsidR="009C42EB">
        <w:t xml:space="preserve"> “beyond gender”</w:t>
      </w:r>
      <w:r>
        <w:t xml:space="preserve"> construal would then persist</w:t>
      </w:r>
      <w:r w:rsidR="00586953">
        <w:t xml:space="preserve"> throughout</w:t>
      </w:r>
      <w:r w:rsidR="00610B8B">
        <w:t>. It would</w:t>
      </w:r>
      <w:r w:rsidRPr="001B2338">
        <w:t xml:space="preserve"> </w:t>
      </w:r>
      <w:r>
        <w:t>cast</w:t>
      </w:r>
      <w:r w:rsidRPr="001B2338">
        <w:t xml:space="preserve"> </w:t>
      </w:r>
      <w:r w:rsidR="00582F29">
        <w:t>G</w:t>
      </w:r>
      <w:r w:rsidR="00582F29" w:rsidRPr="00097315">
        <w:rPr>
          <w:smallCaps/>
        </w:rPr>
        <w:t>od</w:t>
      </w:r>
      <w:r w:rsidR="00582F29">
        <w:t xml:space="preserve">’s </w:t>
      </w:r>
      <w:r w:rsidR="006F1A54">
        <w:t>persona as</w:t>
      </w:r>
      <w:r w:rsidR="00586953">
        <w:t xml:space="preserve"> obviously</w:t>
      </w:r>
      <w:r w:rsidR="006F1A54">
        <w:t xml:space="preserve"> independent of the </w:t>
      </w:r>
      <w:r>
        <w:t xml:space="preserve">many </w:t>
      </w:r>
      <w:r w:rsidR="00610B8B">
        <w:t>and varied</w:t>
      </w:r>
      <w:r w:rsidRPr="001B2338">
        <w:t xml:space="preserve"> ascripti</w:t>
      </w:r>
      <w:r w:rsidR="00610B8B">
        <w:t>ons</w:t>
      </w:r>
      <w:r w:rsidRPr="001B2338">
        <w:t xml:space="preserve"> and anthropomorphisms</w:t>
      </w:r>
      <w:r w:rsidR="00610B8B">
        <w:t xml:space="preserve"> that follow it</w:t>
      </w:r>
      <w:r w:rsidRPr="001B2338">
        <w:t>.</w:t>
      </w:r>
      <w:r>
        <w:rPr>
          <w:rStyle w:val="FootnoteReference"/>
        </w:rPr>
        <w:footnoteReference w:id="51"/>
      </w:r>
    </w:p>
    <w:p w14:paraId="4176EDA7" w14:textId="77777777" w:rsidR="008F13C2" w:rsidRPr="00FF6C92" w:rsidRDefault="008F13C2" w:rsidP="008F13C2">
      <w:pPr>
        <w:pStyle w:val="StandardFL"/>
        <w:rPr>
          <w:b/>
          <w:bCs/>
        </w:rPr>
      </w:pPr>
    </w:p>
    <w:p w14:paraId="0A88087F" w14:textId="77777777" w:rsidR="008F13C2" w:rsidRPr="00B45606" w:rsidRDefault="008F13C2" w:rsidP="008F13C2">
      <w:pPr>
        <w:pStyle w:val="Heading3"/>
      </w:pPr>
      <w:r w:rsidRPr="00B45606">
        <w:t>Third-Person References to Israel’s God</w:t>
      </w:r>
    </w:p>
    <w:p w14:paraId="1FBAA809" w14:textId="646AF6BA" w:rsidR="008F13C2" w:rsidRDefault="007143DE" w:rsidP="008F13C2">
      <w:pPr>
        <w:pStyle w:val="StandardFL"/>
        <w:rPr>
          <w:color w:val="000000"/>
          <w:lang w:bidi="he-IL"/>
        </w:rPr>
      </w:pPr>
      <w:r>
        <w:t xml:space="preserve">In order to avoid </w:t>
      </w:r>
      <w:r>
        <w:rPr>
          <w:i/>
          <w:iCs/>
        </w:rPr>
        <w:t>He/Hi</w:t>
      </w:r>
      <w:r w:rsidR="00485384">
        <w:rPr>
          <w:i/>
          <w:iCs/>
        </w:rPr>
        <w:t>m</w:t>
      </w:r>
      <w:r>
        <w:rPr>
          <w:i/>
          <w:iCs/>
        </w:rPr>
        <w:t>/Hi</w:t>
      </w:r>
      <w:r w:rsidR="00485384">
        <w:rPr>
          <w:i/>
          <w:iCs/>
        </w:rPr>
        <w:t>s</w:t>
      </w:r>
      <w:r>
        <w:rPr>
          <w:i/>
          <w:iCs/>
        </w:rPr>
        <w:t>/Himself</w:t>
      </w:r>
      <w:r>
        <w:t xml:space="preserve"> when referring to </w:t>
      </w:r>
      <w:r>
        <w:rPr>
          <w:smallCaps/>
        </w:rPr>
        <w:t>God</w:t>
      </w:r>
      <w:r>
        <w:t xml:space="preserve">, the translators of this edition revised the </w:t>
      </w:r>
      <w:r w:rsidR="00485384">
        <w:t xml:space="preserve">NJPS </w:t>
      </w:r>
      <w:r>
        <w:t xml:space="preserve">wording according to techniques recommended by standard guides such as the </w:t>
      </w:r>
      <w:r>
        <w:rPr>
          <w:i/>
          <w:iCs/>
        </w:rPr>
        <w:t>Chicago Manual of Style</w:t>
      </w:r>
      <w:r>
        <w:t xml:space="preserve">, while hewing to the underlying Hebrew text. That being said, </w:t>
      </w:r>
      <w:r w:rsidR="008F13C2">
        <w:t xml:space="preserve">the </w:t>
      </w:r>
      <w:r w:rsidR="00034F92">
        <w:t xml:space="preserve">consistent </w:t>
      </w:r>
      <w:r w:rsidR="008F13C2">
        <w:t xml:space="preserve">avoidance of </w:t>
      </w:r>
      <w:r w:rsidR="008F13C2" w:rsidRPr="00C03A20">
        <w:t>pronouns</w:t>
      </w:r>
      <w:r>
        <w:t xml:space="preserve"> poses special challenges</w:t>
      </w:r>
      <w:r w:rsidR="00A84C06">
        <w:t xml:space="preserve"> </w:t>
      </w:r>
      <w:r>
        <w:t>that should not go unremarked</w:t>
      </w:r>
      <w:r w:rsidR="00A84C06">
        <w:t xml:space="preserve">. Compared </w:t>
      </w:r>
      <w:r w:rsidR="00034F92">
        <w:t>with</w:t>
      </w:r>
      <w:r w:rsidR="00A84C06">
        <w:t xml:space="preserve"> the normal </w:t>
      </w:r>
      <w:r w:rsidR="00034F92">
        <w:t>recourse to</w:t>
      </w:r>
      <w:r w:rsidR="00A84C06">
        <w:t xml:space="preserve"> pronouns, </w:t>
      </w:r>
      <w:r w:rsidR="00034F92">
        <w:t>the resulting</w:t>
      </w:r>
      <w:r w:rsidR="008F13C2">
        <w:t xml:space="preserve"> utterances </w:t>
      </w:r>
      <w:r w:rsidR="00485384">
        <w:t>can</w:t>
      </w:r>
      <w:r w:rsidR="008F13C2" w:rsidRPr="00C03A20">
        <w:t xml:space="preserve"> </w:t>
      </w:r>
      <w:r w:rsidR="008F13C2">
        <w:t>demand</w:t>
      </w:r>
      <w:r w:rsidR="008F13C2" w:rsidRPr="00C03A20">
        <w:t xml:space="preserve"> more audience attention</w:t>
      </w:r>
      <w:r w:rsidR="008F13C2">
        <w:t xml:space="preserve"> (</w:t>
      </w:r>
      <w:r w:rsidR="00A84C06">
        <w:t xml:space="preserve">in </w:t>
      </w:r>
      <w:r w:rsidR="008F13C2">
        <w:t>cognitive processing)</w:t>
      </w:r>
      <w:r w:rsidR="008F13C2" w:rsidRPr="00C03A20">
        <w:t xml:space="preserve">, </w:t>
      </w:r>
      <w:r w:rsidR="008F13C2">
        <w:t xml:space="preserve">have a </w:t>
      </w:r>
      <w:r w:rsidR="00A84C06">
        <w:t>jerkier or</w:t>
      </w:r>
      <w:r w:rsidR="008F13C2" w:rsidRPr="00C03A20">
        <w:t xml:space="preserve"> </w:t>
      </w:r>
      <w:r w:rsidR="00A84C06">
        <w:t xml:space="preserve">more </w:t>
      </w:r>
      <w:r w:rsidR="008F13C2" w:rsidRPr="00C03A20">
        <w:t>staccato</w:t>
      </w:r>
      <w:r w:rsidR="008F13C2">
        <w:t xml:space="preserve"> feel, and </w:t>
      </w:r>
      <w:r w:rsidR="00485384">
        <w:t>tend to be</w:t>
      </w:r>
      <w:r w:rsidR="008F13C2">
        <w:t xml:space="preserve"> less precise about th</w:t>
      </w:r>
      <w:r w:rsidR="00A84C06">
        <w:t>at</w:t>
      </w:r>
      <w:r w:rsidR="008F13C2">
        <w:t xml:space="preserve"> </w:t>
      </w:r>
      <w:r w:rsidR="00A84C06">
        <w:t>persona</w:t>
      </w:r>
      <w:r w:rsidR="008F13C2" w:rsidRPr="00B45606">
        <w:t>’s r</w:t>
      </w:r>
      <w:r w:rsidR="008F13C2" w:rsidRPr="00246401">
        <w:t>elationships</w:t>
      </w:r>
      <w:r w:rsidR="008F13C2">
        <w:t>. The pres</w:t>
      </w:r>
      <w:r w:rsidR="008F13C2">
        <w:softHyphen/>
        <w:t xml:space="preserve">ent edition minimizes such side effects </w:t>
      </w:r>
      <w:r w:rsidR="00A84C06">
        <w:t>via</w:t>
      </w:r>
      <w:r w:rsidR="008F13C2">
        <w:t xml:space="preserve"> </w:t>
      </w:r>
      <w:r w:rsidR="00926A7A">
        <w:t>attentive</w:t>
      </w:r>
      <w:r w:rsidR="008F13C2">
        <w:t xml:space="preserve"> editing, guided by the goal of functional equivalence</w:t>
      </w:r>
      <w:r w:rsidR="008776D4">
        <w:t xml:space="preserve">: </w:t>
      </w:r>
      <w:r w:rsidR="00D41B6B">
        <w:t>to evoke</w:t>
      </w:r>
      <w:r w:rsidR="00D41B6B" w:rsidRPr="00D41B6B">
        <w:t xml:space="preserve"> the same </w:t>
      </w:r>
      <w:r w:rsidR="00D41B6B">
        <w:t>plain-sense meaning for</w:t>
      </w:r>
      <w:r w:rsidR="00D41B6B" w:rsidRPr="00D41B6B">
        <w:t xml:space="preserve"> </w:t>
      </w:r>
      <w:r w:rsidR="00D41B6B">
        <w:t xml:space="preserve">today’s audience </w:t>
      </w:r>
      <w:r w:rsidR="00D41B6B" w:rsidRPr="00D41B6B">
        <w:t>as the</w:t>
      </w:r>
      <w:r w:rsidR="00D41B6B">
        <w:t xml:space="preserve"> original text</w:t>
      </w:r>
      <w:r w:rsidR="00D41B6B" w:rsidRPr="00D41B6B">
        <w:t xml:space="preserve"> would have </w:t>
      </w:r>
      <w:r w:rsidR="00D41B6B">
        <w:t>done for its audience</w:t>
      </w:r>
      <w:r w:rsidR="008F13C2">
        <w:t xml:space="preserve">. </w:t>
      </w:r>
      <w:r w:rsidR="001D4847">
        <w:t>(</w:t>
      </w:r>
      <w:r w:rsidR="00DA3AC8">
        <w:t>Where the</w:t>
      </w:r>
      <w:r w:rsidR="00485384">
        <w:t xml:space="preserve"> RJPS</w:t>
      </w:r>
      <w:r w:rsidR="00DA3AC8">
        <w:t xml:space="preserve"> substitution moves markedly toward paraphrase</w:t>
      </w:r>
      <w:r w:rsidR="008F13C2">
        <w:t xml:space="preserve">, </w:t>
      </w:r>
      <w:r w:rsidR="008F13C2">
        <w:rPr>
          <w:color w:val="000000"/>
          <w:lang w:bidi="he-IL"/>
        </w:rPr>
        <w:t>a literal rendering is given in a footnote</w:t>
      </w:r>
      <w:r w:rsidR="00A84C06">
        <w:rPr>
          <w:color w:val="000000"/>
          <w:lang w:bidi="he-IL"/>
        </w:rPr>
        <w:t xml:space="preserve">, </w:t>
      </w:r>
      <w:r w:rsidR="001D4847">
        <w:rPr>
          <w:color w:val="000000"/>
          <w:lang w:bidi="he-IL"/>
        </w:rPr>
        <w:t>emulating</w:t>
      </w:r>
      <w:r w:rsidR="00A84C06">
        <w:rPr>
          <w:color w:val="000000"/>
          <w:lang w:bidi="he-IL"/>
        </w:rPr>
        <w:t xml:space="preserve"> </w:t>
      </w:r>
      <w:r w:rsidR="008776D4">
        <w:rPr>
          <w:color w:val="000000"/>
          <w:lang w:bidi="he-IL"/>
        </w:rPr>
        <w:t xml:space="preserve">NJPS </w:t>
      </w:r>
      <w:r w:rsidR="00A84C06">
        <w:rPr>
          <w:color w:val="000000"/>
          <w:lang w:bidi="he-IL"/>
        </w:rPr>
        <w:t>practice</w:t>
      </w:r>
      <w:r w:rsidR="008F13C2">
        <w:rPr>
          <w:color w:val="000000"/>
          <w:lang w:bidi="he-IL"/>
        </w:rPr>
        <w:t>.</w:t>
      </w:r>
      <w:r w:rsidR="001D4847">
        <w:rPr>
          <w:color w:val="000000"/>
          <w:lang w:bidi="he-IL"/>
        </w:rPr>
        <w:t>)</w:t>
      </w:r>
      <w:r w:rsidR="008F13C2">
        <w:rPr>
          <w:color w:val="000000"/>
          <w:lang w:bidi="he-IL"/>
        </w:rPr>
        <w:t xml:space="preserve"> </w:t>
      </w:r>
      <w:r w:rsidR="00506317">
        <w:rPr>
          <w:color w:val="000000"/>
          <w:lang w:bidi="he-IL"/>
        </w:rPr>
        <w:t>For examples, s</w:t>
      </w:r>
      <w:r w:rsidR="008F13C2">
        <w:rPr>
          <w:color w:val="000000"/>
          <w:lang w:bidi="he-IL"/>
        </w:rPr>
        <w:t xml:space="preserve">ee </w:t>
      </w:r>
      <w:r w:rsidR="00506317">
        <w:rPr>
          <w:color w:val="000000"/>
          <w:lang w:bidi="he-IL"/>
        </w:rPr>
        <w:t>T</w:t>
      </w:r>
      <w:r w:rsidR="008F13C2">
        <w:rPr>
          <w:color w:val="000000"/>
          <w:lang w:bidi="he-IL"/>
        </w:rPr>
        <w:t>able</w:t>
      </w:r>
      <w:r w:rsidR="00506317">
        <w:rPr>
          <w:color w:val="000000"/>
          <w:lang w:bidi="he-IL"/>
        </w:rPr>
        <w:t xml:space="preserve"> 2</w:t>
      </w:r>
      <w:r w:rsidR="008F13C2">
        <w:rPr>
          <w:color w:val="000000"/>
          <w:lang w:bidi="he-IL"/>
        </w:rPr>
        <w:t>.</w:t>
      </w:r>
      <w:r w:rsidR="00926A7A">
        <w:rPr>
          <w:rStyle w:val="FootnoteReference"/>
          <w:lang w:bidi="he-IL"/>
        </w:rPr>
        <w:footnoteReference w:id="52"/>
      </w:r>
    </w:p>
    <w:p w14:paraId="77585B62" w14:textId="77777777" w:rsidR="00F066AB" w:rsidRPr="00F066AB" w:rsidRDefault="00F066AB" w:rsidP="00F066AB">
      <w:pPr>
        <w:pStyle w:val="Standard1218justified"/>
        <w:rPr>
          <w:lang w:bidi="he-IL"/>
        </w:rPr>
      </w:pPr>
    </w:p>
    <w:p w14:paraId="56CD2813" w14:textId="783101F7" w:rsidR="008F13C2" w:rsidRPr="00B45606" w:rsidRDefault="00506317" w:rsidP="00DA7909">
      <w:pPr>
        <w:keepNext/>
        <w:pBdr>
          <w:top w:val="nil"/>
          <w:left w:val="nil"/>
          <w:bottom w:val="nil"/>
          <w:right w:val="nil"/>
          <w:between w:val="nil"/>
        </w:pBdr>
        <w:spacing w:after="80" w:line="240" w:lineRule="auto"/>
        <w:jc w:val="center"/>
        <w:rPr>
          <w:rFonts w:asciiTheme="majorBidi" w:hAnsiTheme="majorBidi" w:cstheme="majorBidi"/>
          <w:b/>
          <w:color w:val="595959" w:themeColor="text1" w:themeTint="A6"/>
          <w:szCs w:val="24"/>
        </w:rPr>
      </w:pPr>
      <w:r w:rsidRPr="00B45606">
        <w:rPr>
          <w:rFonts w:asciiTheme="majorBidi" w:hAnsiTheme="majorBidi" w:cstheme="majorBidi"/>
          <w:b/>
          <w:color w:val="595959" w:themeColor="text1" w:themeTint="A6"/>
          <w:szCs w:val="24"/>
        </w:rPr>
        <w:t>Table 2. Typical References to Israel’s God in RJPS versus NJPS</w:t>
      </w:r>
    </w:p>
    <w:tbl>
      <w:tblPr>
        <w:tblStyle w:val="a"/>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3690"/>
        <w:gridCol w:w="1350"/>
      </w:tblGrid>
      <w:tr w:rsidR="008F13C2" w:rsidRPr="00E13BD5" w14:paraId="0E9424D6" w14:textId="77777777" w:rsidTr="0060087C">
        <w:tc>
          <w:tcPr>
            <w:tcW w:w="3590" w:type="dxa"/>
            <w:shd w:val="clear" w:color="auto" w:fill="FFFFFF"/>
            <w:tcMar>
              <w:top w:w="0" w:type="dxa"/>
              <w:left w:w="150" w:type="dxa"/>
              <w:bottom w:w="0" w:type="dxa"/>
              <w:right w:w="150" w:type="dxa"/>
            </w:tcMar>
          </w:tcPr>
          <w:p w14:paraId="178753B2" w14:textId="77777777" w:rsidR="008F13C2" w:rsidRPr="001C147D" w:rsidRDefault="008F13C2" w:rsidP="00CE1540">
            <w:pPr>
              <w:keepNext/>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b/>
                <w:bCs/>
                <w:sz w:val="21"/>
                <w:szCs w:val="21"/>
              </w:rPr>
              <w:t>RJPS</w:t>
            </w:r>
          </w:p>
        </w:tc>
        <w:tc>
          <w:tcPr>
            <w:tcW w:w="3690" w:type="dxa"/>
            <w:shd w:val="clear" w:color="auto" w:fill="FFFFFF"/>
          </w:tcPr>
          <w:p w14:paraId="3DA291A1" w14:textId="77777777" w:rsidR="008F13C2" w:rsidRPr="001C147D" w:rsidRDefault="008F13C2" w:rsidP="00CE1540">
            <w:pPr>
              <w:keepNext/>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b/>
                <w:bCs/>
                <w:sz w:val="21"/>
                <w:szCs w:val="21"/>
              </w:rPr>
              <w:t>NJPS</w:t>
            </w:r>
          </w:p>
        </w:tc>
        <w:tc>
          <w:tcPr>
            <w:tcW w:w="1350" w:type="dxa"/>
            <w:shd w:val="clear" w:color="auto" w:fill="FFFFFF"/>
          </w:tcPr>
          <w:p w14:paraId="20B9AFA6" w14:textId="77777777" w:rsidR="008F13C2" w:rsidRPr="001C147D" w:rsidRDefault="008F13C2" w:rsidP="00CE1540">
            <w:pPr>
              <w:keepNext/>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b/>
                <w:bCs/>
                <w:sz w:val="21"/>
                <w:szCs w:val="21"/>
              </w:rPr>
              <w:t xml:space="preserve">Citation </w:t>
            </w:r>
          </w:p>
        </w:tc>
      </w:tr>
      <w:tr w:rsidR="008F13C2" w:rsidRPr="00E13BD5" w14:paraId="738C9062" w14:textId="77777777" w:rsidTr="0060087C">
        <w:tc>
          <w:tcPr>
            <w:tcW w:w="3590" w:type="dxa"/>
            <w:shd w:val="clear" w:color="auto" w:fill="FFFFFF"/>
            <w:tcMar>
              <w:top w:w="0" w:type="dxa"/>
              <w:left w:w="150" w:type="dxa"/>
              <w:bottom w:w="0" w:type="dxa"/>
              <w:right w:w="150" w:type="dxa"/>
            </w:tcMar>
          </w:tcPr>
          <w:p w14:paraId="6455DBB0"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[God] said</w:t>
            </w:r>
          </w:p>
        </w:tc>
        <w:tc>
          <w:tcPr>
            <w:tcW w:w="3690" w:type="dxa"/>
            <w:shd w:val="clear" w:color="auto" w:fill="FFFFFF"/>
          </w:tcPr>
          <w:p w14:paraId="4CD9E6BF"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He said</w:t>
            </w:r>
          </w:p>
        </w:tc>
        <w:tc>
          <w:tcPr>
            <w:tcW w:w="1350" w:type="dxa"/>
            <w:shd w:val="clear" w:color="auto" w:fill="FFFFFF"/>
          </w:tcPr>
          <w:p w14:paraId="5E76183C"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Exod. 24.1</w:t>
            </w:r>
          </w:p>
        </w:tc>
      </w:tr>
      <w:tr w:rsidR="008F13C2" w:rsidRPr="00E13BD5" w14:paraId="540B7168" w14:textId="77777777" w:rsidTr="0060087C">
        <w:tc>
          <w:tcPr>
            <w:tcW w:w="3590" w:type="dxa"/>
            <w:shd w:val="clear" w:color="auto" w:fill="FFFFFF"/>
            <w:tcMar>
              <w:top w:w="0" w:type="dxa"/>
              <w:left w:w="150" w:type="dxa"/>
              <w:bottom w:w="0" w:type="dxa"/>
              <w:right w:w="150" w:type="dxa"/>
            </w:tcMar>
          </w:tcPr>
          <w:p w14:paraId="728BF097"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God</w:t>
            </w:r>
            <w:r w:rsidRPr="00B45606">
              <w:rPr>
                <w:rFonts w:asciiTheme="majorBidi" w:hAnsiTheme="majorBidi" w:cstheme="majorBidi"/>
                <w:sz w:val="21"/>
                <w:szCs w:val="21"/>
              </w:rPr>
              <w:t>’s p</w:t>
            </w:r>
            <w:r w:rsidRPr="001C147D">
              <w:rPr>
                <w:rFonts w:asciiTheme="majorBidi" w:hAnsiTheme="majorBidi" w:cstheme="majorBidi"/>
                <w:sz w:val="21"/>
                <w:szCs w:val="21"/>
              </w:rPr>
              <w:t>eople</w:t>
            </w:r>
          </w:p>
        </w:tc>
        <w:tc>
          <w:tcPr>
            <w:tcW w:w="3690" w:type="dxa"/>
            <w:shd w:val="clear" w:color="auto" w:fill="FFFFFF"/>
          </w:tcPr>
          <w:p w14:paraId="7D99CDC2"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His people</w:t>
            </w:r>
          </w:p>
        </w:tc>
        <w:tc>
          <w:tcPr>
            <w:tcW w:w="1350" w:type="dxa"/>
            <w:shd w:val="clear" w:color="auto" w:fill="FFFFFF"/>
          </w:tcPr>
          <w:p w14:paraId="107783E4"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Deut. 32.43</w:t>
            </w:r>
          </w:p>
        </w:tc>
      </w:tr>
      <w:tr w:rsidR="008F13C2" w:rsidRPr="00E13BD5" w14:paraId="21F5B631" w14:textId="77777777" w:rsidTr="0060087C">
        <w:tc>
          <w:tcPr>
            <w:tcW w:w="3590" w:type="dxa"/>
            <w:shd w:val="clear" w:color="auto" w:fill="FFFFFF"/>
            <w:tcMar>
              <w:top w:w="0" w:type="dxa"/>
              <w:left w:w="150" w:type="dxa"/>
              <w:bottom w:w="0" w:type="dxa"/>
              <w:right w:w="150" w:type="dxa"/>
            </w:tcMar>
          </w:tcPr>
          <w:p w14:paraId="560A89BB"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the Covenant</w:t>
            </w:r>
          </w:p>
        </w:tc>
        <w:tc>
          <w:tcPr>
            <w:tcW w:w="3690" w:type="dxa"/>
            <w:shd w:val="clear" w:color="auto" w:fill="FFFFFF"/>
          </w:tcPr>
          <w:p w14:paraId="6D52BACD"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His covenant</w:t>
            </w:r>
          </w:p>
        </w:tc>
        <w:tc>
          <w:tcPr>
            <w:tcW w:w="1350" w:type="dxa"/>
            <w:shd w:val="clear" w:color="auto" w:fill="FFFFFF"/>
          </w:tcPr>
          <w:p w14:paraId="19D52B95"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Deut. 17.2</w:t>
            </w:r>
          </w:p>
        </w:tc>
      </w:tr>
      <w:tr w:rsidR="008F13C2" w:rsidRPr="00E13BD5" w14:paraId="3B78ACFE" w14:textId="77777777" w:rsidTr="0060087C">
        <w:tc>
          <w:tcPr>
            <w:tcW w:w="3590" w:type="dxa"/>
            <w:shd w:val="clear" w:color="auto" w:fill="FFFFFF"/>
            <w:tcMar>
              <w:top w:w="0" w:type="dxa"/>
              <w:left w:w="150" w:type="dxa"/>
              <w:bottom w:w="0" w:type="dxa"/>
              <w:right w:w="150" w:type="dxa"/>
            </w:tcMar>
          </w:tcPr>
          <w:p w14:paraId="6A5B3F14"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laws that were enjoined upon you</w:t>
            </w:r>
          </w:p>
        </w:tc>
        <w:tc>
          <w:tcPr>
            <w:tcW w:w="3690" w:type="dxa"/>
            <w:shd w:val="clear" w:color="auto" w:fill="FFFFFF"/>
          </w:tcPr>
          <w:p w14:paraId="498FD4D5"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laws that He enjoined upon you</w:t>
            </w:r>
          </w:p>
        </w:tc>
        <w:tc>
          <w:tcPr>
            <w:tcW w:w="1350" w:type="dxa"/>
            <w:shd w:val="clear" w:color="auto" w:fill="FFFFFF"/>
          </w:tcPr>
          <w:p w14:paraId="2DE4BECE"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Deut. 28.45</w:t>
            </w:r>
          </w:p>
        </w:tc>
      </w:tr>
      <w:tr w:rsidR="008F13C2" w:rsidRPr="00E13BD5" w14:paraId="0A7909DB" w14:textId="77777777" w:rsidTr="0060087C">
        <w:tc>
          <w:tcPr>
            <w:tcW w:w="3590" w:type="dxa"/>
            <w:shd w:val="clear" w:color="auto" w:fill="FFFFFF"/>
            <w:tcMar>
              <w:top w:w="0" w:type="dxa"/>
              <w:left w:w="150" w:type="dxa"/>
              <w:bottom w:w="0" w:type="dxa"/>
              <w:right w:w="150" w:type="dxa"/>
            </w:tcMar>
          </w:tcPr>
          <w:p w14:paraId="1F91630B"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vertAlign w:val="superscript"/>
              </w:rPr>
            </w:pPr>
            <w:r w:rsidRPr="001C147D">
              <w:rPr>
                <w:rFonts w:asciiTheme="majorBidi" w:hAnsiTheme="majorBidi" w:cstheme="majorBidi"/>
                <w:sz w:val="21"/>
                <w:szCs w:val="21"/>
              </w:rPr>
              <w:t>the divine voice</w:t>
            </w:r>
          </w:p>
        </w:tc>
        <w:tc>
          <w:tcPr>
            <w:tcW w:w="3690" w:type="dxa"/>
            <w:shd w:val="clear" w:color="auto" w:fill="FFFFFF"/>
          </w:tcPr>
          <w:p w14:paraId="27915D83"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His voice</w:t>
            </w:r>
          </w:p>
        </w:tc>
        <w:tc>
          <w:tcPr>
            <w:tcW w:w="1350" w:type="dxa"/>
            <w:shd w:val="clear" w:color="auto" w:fill="FFFFFF"/>
          </w:tcPr>
          <w:p w14:paraId="0EBD2D21"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Deut. 4.36</w:t>
            </w:r>
          </w:p>
        </w:tc>
      </w:tr>
      <w:tr w:rsidR="008F13C2" w:rsidRPr="00E13BD5" w14:paraId="7D5DCEEF" w14:textId="77777777" w:rsidTr="0060087C">
        <w:tc>
          <w:tcPr>
            <w:tcW w:w="3590" w:type="dxa"/>
            <w:shd w:val="clear" w:color="auto" w:fill="FFFFFF"/>
            <w:tcMar>
              <w:top w:w="0" w:type="dxa"/>
              <w:left w:w="150" w:type="dxa"/>
              <w:bottom w:w="0" w:type="dxa"/>
              <w:right w:w="150" w:type="dxa"/>
            </w:tcMar>
          </w:tcPr>
          <w:p w14:paraId="607BD93E"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the fear of God</w:t>
            </w:r>
          </w:p>
        </w:tc>
        <w:tc>
          <w:tcPr>
            <w:tcW w:w="3690" w:type="dxa"/>
            <w:shd w:val="clear" w:color="auto" w:fill="FFFFFF"/>
          </w:tcPr>
          <w:p w14:paraId="0A4A12B1"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the fear of Him</w:t>
            </w:r>
          </w:p>
        </w:tc>
        <w:tc>
          <w:tcPr>
            <w:tcW w:w="1350" w:type="dxa"/>
            <w:shd w:val="clear" w:color="auto" w:fill="FFFFFF"/>
          </w:tcPr>
          <w:p w14:paraId="56BBCABE"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Exod. 20.17</w:t>
            </w:r>
          </w:p>
        </w:tc>
      </w:tr>
      <w:tr w:rsidR="008F13C2" w:rsidRPr="00E13BD5" w14:paraId="4EEB7A51" w14:textId="77777777" w:rsidTr="0060087C">
        <w:tc>
          <w:tcPr>
            <w:tcW w:w="3590" w:type="dxa"/>
            <w:shd w:val="clear" w:color="auto" w:fill="FFFFFF"/>
            <w:tcMar>
              <w:top w:w="0" w:type="dxa"/>
              <w:left w:w="150" w:type="dxa"/>
              <w:bottom w:w="0" w:type="dxa"/>
              <w:right w:w="150" w:type="dxa"/>
            </w:tcMar>
          </w:tcPr>
          <w:p w14:paraId="12D8A6F4"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mallCaps/>
                <w:sz w:val="21"/>
                <w:szCs w:val="21"/>
              </w:rPr>
            </w:pPr>
            <w:r w:rsidRPr="001C147D">
              <w:rPr>
                <w:rFonts w:asciiTheme="majorBidi" w:hAnsiTheme="majorBidi" w:cstheme="majorBidi"/>
                <w:sz w:val="21"/>
                <w:szCs w:val="21"/>
              </w:rPr>
              <w:t xml:space="preserve">doing what displeased and vexed </w:t>
            </w:r>
            <w:r w:rsidRPr="001C147D">
              <w:rPr>
                <w:rFonts w:asciiTheme="majorBidi" w:hAnsiTheme="majorBidi" w:cstheme="majorBidi"/>
                <w:smallCaps/>
                <w:sz w:val="21"/>
                <w:szCs w:val="21"/>
              </w:rPr>
              <w:t>God</w:t>
            </w:r>
          </w:p>
        </w:tc>
        <w:tc>
          <w:tcPr>
            <w:tcW w:w="3690" w:type="dxa"/>
            <w:shd w:val="clear" w:color="auto" w:fill="FFFFFF"/>
          </w:tcPr>
          <w:p w14:paraId="1C89A97F"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doing what displeased the L</w:t>
            </w:r>
            <w:r w:rsidRPr="001C147D">
              <w:rPr>
                <w:rFonts w:asciiTheme="majorBidi" w:hAnsiTheme="majorBidi" w:cstheme="majorBidi"/>
                <w:smallCaps/>
                <w:sz w:val="21"/>
                <w:szCs w:val="21"/>
              </w:rPr>
              <w:t>ord</w:t>
            </w:r>
            <w:r w:rsidRPr="001C147D">
              <w:rPr>
                <w:rFonts w:asciiTheme="majorBidi" w:hAnsiTheme="majorBidi" w:cstheme="majorBidi"/>
                <w:sz w:val="21"/>
                <w:szCs w:val="21"/>
              </w:rPr>
              <w:t xml:space="preserve"> and vexing Him</w:t>
            </w:r>
          </w:p>
        </w:tc>
        <w:tc>
          <w:tcPr>
            <w:tcW w:w="1350" w:type="dxa"/>
            <w:shd w:val="clear" w:color="auto" w:fill="FFFFFF"/>
          </w:tcPr>
          <w:p w14:paraId="68383238"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rFonts w:asciiTheme="majorBidi" w:hAnsiTheme="majorBidi" w:cstheme="majorBidi"/>
                <w:sz w:val="21"/>
                <w:szCs w:val="21"/>
              </w:rPr>
              <w:t>Deut. 9.18</w:t>
            </w:r>
          </w:p>
        </w:tc>
      </w:tr>
      <w:tr w:rsidR="008F13C2" w:rsidRPr="00E13BD5" w14:paraId="0EDADD85" w14:textId="77777777" w:rsidTr="0060087C">
        <w:tc>
          <w:tcPr>
            <w:tcW w:w="3590" w:type="dxa"/>
            <w:shd w:val="clear" w:color="auto" w:fill="FFFFFF"/>
            <w:tcMar>
              <w:top w:w="0" w:type="dxa"/>
              <w:left w:w="150" w:type="dxa"/>
              <w:bottom w:w="0" w:type="dxa"/>
              <w:right w:w="150" w:type="dxa"/>
            </w:tcMar>
          </w:tcPr>
          <w:p w14:paraId="3AC04573" w14:textId="12E69551"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proofErr w:type="spellStart"/>
            <w:r w:rsidRPr="001C147D">
              <w:rPr>
                <w:color w:val="000000"/>
                <w:sz w:val="21"/>
                <w:szCs w:val="21"/>
              </w:rPr>
              <w:t>may</w:t>
            </w:r>
            <w:proofErr w:type="spellEnd"/>
            <w:r w:rsidRPr="001C147D">
              <w:rPr>
                <w:color w:val="000000"/>
                <w:sz w:val="21"/>
                <w:szCs w:val="21"/>
              </w:rPr>
              <w:t xml:space="preserve"> </w:t>
            </w:r>
            <w:r w:rsidR="006F5251" w:rsidRPr="001C147D">
              <w:rPr>
                <w:color w:val="000000"/>
                <w:sz w:val="21"/>
                <w:szCs w:val="21"/>
              </w:rPr>
              <w:t>G</w:t>
            </w:r>
            <w:r w:rsidR="006F5251" w:rsidRPr="001C147D">
              <w:rPr>
                <w:smallCaps/>
                <w:color w:val="000000"/>
                <w:sz w:val="21"/>
                <w:szCs w:val="21"/>
              </w:rPr>
              <w:t>od</w:t>
            </w:r>
            <w:r w:rsidR="006F5251" w:rsidRPr="001C147D">
              <w:rPr>
                <w:color w:val="000000"/>
                <w:sz w:val="21"/>
                <w:szCs w:val="21"/>
              </w:rPr>
              <w:t xml:space="preserve"> </w:t>
            </w:r>
            <w:r w:rsidRPr="001C147D">
              <w:rPr>
                <w:sz w:val="21"/>
                <w:szCs w:val="21"/>
              </w:rPr>
              <w:t xml:space="preserve">be the one to </w:t>
            </w:r>
            <w:r w:rsidRPr="001C147D">
              <w:rPr>
                <w:color w:val="000000"/>
                <w:sz w:val="21"/>
                <w:szCs w:val="21"/>
              </w:rPr>
              <w:t>demand</w:t>
            </w:r>
          </w:p>
        </w:tc>
        <w:tc>
          <w:tcPr>
            <w:tcW w:w="3690" w:type="dxa"/>
            <w:shd w:val="clear" w:color="auto" w:fill="FFFFFF"/>
          </w:tcPr>
          <w:p w14:paraId="7D352650" w14:textId="12DD83CC"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color w:val="000000"/>
                <w:sz w:val="21"/>
                <w:szCs w:val="21"/>
              </w:rPr>
              <w:t>may</w:t>
            </w:r>
            <w:r w:rsidRPr="001C147D">
              <w:rPr>
                <w:sz w:val="21"/>
                <w:szCs w:val="21"/>
              </w:rPr>
              <w:t xml:space="preserve"> the </w:t>
            </w:r>
            <w:r w:rsidR="006F5251" w:rsidRPr="001C147D">
              <w:rPr>
                <w:color w:val="000000"/>
                <w:sz w:val="21"/>
                <w:szCs w:val="21"/>
              </w:rPr>
              <w:t>L</w:t>
            </w:r>
            <w:r w:rsidR="006F5251" w:rsidRPr="001C147D">
              <w:rPr>
                <w:smallCaps/>
                <w:color w:val="000000"/>
                <w:sz w:val="21"/>
                <w:szCs w:val="21"/>
              </w:rPr>
              <w:t>ord</w:t>
            </w:r>
            <w:r w:rsidR="006F5251" w:rsidRPr="001C147D">
              <w:rPr>
                <w:color w:val="000000"/>
                <w:sz w:val="21"/>
                <w:szCs w:val="21"/>
              </w:rPr>
              <w:t xml:space="preserve"> </w:t>
            </w:r>
            <w:r w:rsidRPr="001C147D">
              <w:rPr>
                <w:sz w:val="21"/>
                <w:szCs w:val="21"/>
              </w:rPr>
              <w:t>Himself d</w:t>
            </w:r>
            <w:r w:rsidRPr="001C147D">
              <w:rPr>
                <w:color w:val="000000"/>
                <w:sz w:val="21"/>
                <w:szCs w:val="21"/>
              </w:rPr>
              <w:t>emand</w:t>
            </w:r>
          </w:p>
        </w:tc>
        <w:tc>
          <w:tcPr>
            <w:tcW w:w="1350" w:type="dxa"/>
            <w:shd w:val="clear" w:color="auto" w:fill="FFFFFF"/>
          </w:tcPr>
          <w:p w14:paraId="7B0BCD96"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sz w:val="21"/>
                <w:szCs w:val="21"/>
              </w:rPr>
              <w:t>Josh. 22.23</w:t>
            </w:r>
          </w:p>
        </w:tc>
      </w:tr>
      <w:tr w:rsidR="008F13C2" w:rsidRPr="00E13BD5" w14:paraId="31BAEBD1" w14:textId="77777777" w:rsidTr="0060087C">
        <w:tc>
          <w:tcPr>
            <w:tcW w:w="3590" w:type="dxa"/>
            <w:shd w:val="clear" w:color="auto" w:fill="FFFFFF"/>
            <w:tcMar>
              <w:top w:w="0" w:type="dxa"/>
              <w:left w:w="150" w:type="dxa"/>
              <w:bottom w:w="0" w:type="dxa"/>
              <w:right w:w="150" w:type="dxa"/>
            </w:tcMar>
          </w:tcPr>
          <w:p w14:paraId="7D70EBB0"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color w:val="000000"/>
                <w:sz w:val="21"/>
                <w:szCs w:val="21"/>
              </w:rPr>
              <w:t>G</w:t>
            </w:r>
            <w:r w:rsidRPr="001C147D">
              <w:rPr>
                <w:smallCaps/>
                <w:color w:val="000000"/>
                <w:sz w:val="21"/>
                <w:szCs w:val="21"/>
              </w:rPr>
              <w:t>od</w:t>
            </w:r>
            <w:r w:rsidRPr="001C147D">
              <w:rPr>
                <w:color w:val="000000"/>
                <w:sz w:val="21"/>
                <w:szCs w:val="21"/>
              </w:rPr>
              <w:t xml:space="preserve"> hears when I call out</w:t>
            </w:r>
          </w:p>
        </w:tc>
        <w:tc>
          <w:tcPr>
            <w:tcW w:w="3690" w:type="dxa"/>
            <w:shd w:val="clear" w:color="auto" w:fill="FFFFFF"/>
          </w:tcPr>
          <w:p w14:paraId="700EBDDD"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color w:val="000000"/>
                <w:sz w:val="21"/>
                <w:szCs w:val="21"/>
              </w:rPr>
              <w:t>the L</w:t>
            </w:r>
            <w:r w:rsidRPr="001C147D">
              <w:rPr>
                <w:smallCaps/>
                <w:color w:val="000000"/>
                <w:sz w:val="21"/>
                <w:szCs w:val="21"/>
              </w:rPr>
              <w:t>ord</w:t>
            </w:r>
            <w:r w:rsidRPr="001C147D">
              <w:rPr>
                <w:color w:val="000000"/>
                <w:sz w:val="21"/>
                <w:szCs w:val="21"/>
              </w:rPr>
              <w:t xml:space="preserve"> hears when I call to Him</w:t>
            </w:r>
          </w:p>
        </w:tc>
        <w:tc>
          <w:tcPr>
            <w:tcW w:w="1350" w:type="dxa"/>
            <w:shd w:val="clear" w:color="auto" w:fill="FFFFFF"/>
          </w:tcPr>
          <w:p w14:paraId="0096BC1A"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color w:val="000000"/>
                <w:sz w:val="21"/>
                <w:szCs w:val="21"/>
              </w:rPr>
              <w:t>Ps. 4.4</w:t>
            </w:r>
          </w:p>
        </w:tc>
      </w:tr>
      <w:tr w:rsidR="008F13C2" w:rsidRPr="00E13BD5" w14:paraId="208E5B58" w14:textId="77777777" w:rsidTr="0060087C">
        <w:tc>
          <w:tcPr>
            <w:tcW w:w="3590" w:type="dxa"/>
            <w:shd w:val="clear" w:color="auto" w:fill="FFFFFF"/>
            <w:tcMar>
              <w:top w:w="0" w:type="dxa"/>
              <w:left w:w="150" w:type="dxa"/>
              <w:bottom w:w="0" w:type="dxa"/>
              <w:right w:w="150" w:type="dxa"/>
            </w:tcMar>
          </w:tcPr>
          <w:p w14:paraId="6AF57782"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color w:val="000000"/>
                <w:sz w:val="21"/>
                <w:szCs w:val="21"/>
              </w:rPr>
              <w:t>I cry aloud to G</w:t>
            </w:r>
            <w:r w:rsidRPr="001C147D">
              <w:rPr>
                <w:smallCaps/>
                <w:color w:val="000000"/>
                <w:sz w:val="21"/>
                <w:szCs w:val="21"/>
              </w:rPr>
              <w:t>od</w:t>
            </w:r>
            <w:r w:rsidRPr="001C147D">
              <w:rPr>
                <w:color w:val="000000"/>
                <w:sz w:val="21"/>
                <w:szCs w:val="21"/>
              </w:rPr>
              <w:t>, / who answers me</w:t>
            </w:r>
          </w:p>
        </w:tc>
        <w:tc>
          <w:tcPr>
            <w:tcW w:w="3690" w:type="dxa"/>
            <w:shd w:val="clear" w:color="auto" w:fill="FFFFFF"/>
          </w:tcPr>
          <w:p w14:paraId="65F69F9C"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color w:val="000000"/>
                <w:sz w:val="21"/>
                <w:szCs w:val="21"/>
              </w:rPr>
              <w:t>I cry aloud to the L</w:t>
            </w:r>
            <w:r w:rsidRPr="001C147D">
              <w:rPr>
                <w:smallCaps/>
                <w:color w:val="000000"/>
                <w:sz w:val="21"/>
                <w:szCs w:val="21"/>
              </w:rPr>
              <w:t>ord</w:t>
            </w:r>
            <w:r w:rsidRPr="001C147D">
              <w:rPr>
                <w:color w:val="000000"/>
                <w:sz w:val="21"/>
                <w:szCs w:val="21"/>
              </w:rPr>
              <w:t>, / and He answers me</w:t>
            </w:r>
          </w:p>
        </w:tc>
        <w:tc>
          <w:tcPr>
            <w:tcW w:w="1350" w:type="dxa"/>
            <w:shd w:val="clear" w:color="auto" w:fill="FFFFFF"/>
          </w:tcPr>
          <w:p w14:paraId="41562320" w14:textId="77777777" w:rsidR="008F13C2" w:rsidRPr="001C147D" w:rsidRDefault="008F13C2" w:rsidP="00CE1540">
            <w:pPr>
              <w:pBdr>
                <w:top w:val="nil"/>
                <w:left w:val="nil"/>
                <w:bottom w:val="nil"/>
                <w:right w:val="nil"/>
                <w:between w:val="nil"/>
              </w:pBdr>
              <w:snapToGrid w:val="0"/>
              <w:spacing w:line="216" w:lineRule="auto"/>
              <w:contextualSpacing/>
              <w:rPr>
                <w:rFonts w:asciiTheme="majorBidi" w:hAnsiTheme="majorBidi" w:cstheme="majorBidi"/>
                <w:sz w:val="21"/>
                <w:szCs w:val="21"/>
              </w:rPr>
            </w:pPr>
            <w:r w:rsidRPr="001C147D">
              <w:rPr>
                <w:color w:val="000000"/>
                <w:sz w:val="21"/>
                <w:szCs w:val="21"/>
              </w:rPr>
              <w:t>Ps. 3.5</w:t>
            </w:r>
          </w:p>
        </w:tc>
      </w:tr>
      <w:tr w:rsidR="008F13C2" w:rsidRPr="00E13BD5" w14:paraId="0AB50E52" w14:textId="77777777" w:rsidTr="0060087C">
        <w:tc>
          <w:tcPr>
            <w:tcW w:w="3590" w:type="dxa"/>
            <w:shd w:val="clear" w:color="auto" w:fill="FFFFFF"/>
            <w:tcMar>
              <w:top w:w="0" w:type="dxa"/>
              <w:left w:w="150" w:type="dxa"/>
              <w:bottom w:w="0" w:type="dxa"/>
              <w:right w:w="150" w:type="dxa"/>
            </w:tcMar>
          </w:tcPr>
          <w:p w14:paraId="1052F4D8" w14:textId="77777777" w:rsidR="008F13C2" w:rsidRPr="001C147D" w:rsidRDefault="008F13C2" w:rsidP="00CE1540">
            <w:pPr>
              <w:pBdr>
                <w:top w:val="nil"/>
                <w:left w:val="nil"/>
                <w:bottom w:val="nil"/>
                <w:right w:val="nil"/>
                <w:between w:val="nil"/>
              </w:pBdr>
              <w:snapToGrid w:val="0"/>
              <w:spacing w:line="216" w:lineRule="auto"/>
              <w:contextualSpacing/>
              <w:rPr>
                <w:color w:val="000000"/>
                <w:sz w:val="21"/>
                <w:szCs w:val="21"/>
              </w:rPr>
            </w:pPr>
            <w:r w:rsidRPr="001C147D">
              <w:rPr>
                <w:sz w:val="21"/>
                <w:szCs w:val="21"/>
              </w:rPr>
              <w:t>Then G</w:t>
            </w:r>
            <w:r w:rsidRPr="001C147D">
              <w:rPr>
                <w:smallCaps/>
                <w:sz w:val="21"/>
                <w:szCs w:val="21"/>
              </w:rPr>
              <w:t>od</w:t>
            </w:r>
            <w:r w:rsidRPr="001C147D">
              <w:rPr>
                <w:sz w:val="21"/>
                <w:szCs w:val="21"/>
              </w:rPr>
              <w:t>, having become incensed against Israel, said</w:t>
            </w:r>
          </w:p>
        </w:tc>
        <w:tc>
          <w:tcPr>
            <w:tcW w:w="3690" w:type="dxa"/>
            <w:shd w:val="clear" w:color="auto" w:fill="FFFFFF"/>
          </w:tcPr>
          <w:p w14:paraId="5987CCF2" w14:textId="77777777" w:rsidR="008F13C2" w:rsidRPr="001C147D" w:rsidRDefault="008F13C2" w:rsidP="00CE1540">
            <w:pPr>
              <w:pBdr>
                <w:top w:val="nil"/>
                <w:left w:val="nil"/>
                <w:bottom w:val="nil"/>
                <w:right w:val="nil"/>
                <w:between w:val="nil"/>
              </w:pBdr>
              <w:snapToGrid w:val="0"/>
              <w:spacing w:line="216" w:lineRule="auto"/>
              <w:contextualSpacing/>
              <w:rPr>
                <w:color w:val="000000"/>
                <w:sz w:val="21"/>
                <w:szCs w:val="21"/>
              </w:rPr>
            </w:pPr>
            <w:r w:rsidRPr="001C147D">
              <w:rPr>
                <w:sz w:val="21"/>
                <w:szCs w:val="21"/>
              </w:rPr>
              <w:t>Then the L</w:t>
            </w:r>
            <w:r w:rsidRPr="001C147D">
              <w:rPr>
                <w:smallCaps/>
                <w:sz w:val="21"/>
                <w:szCs w:val="21"/>
              </w:rPr>
              <w:t>ord</w:t>
            </w:r>
            <w:r w:rsidRPr="001C147D">
              <w:rPr>
                <w:sz w:val="21"/>
                <w:szCs w:val="21"/>
              </w:rPr>
              <w:t xml:space="preserve"> became incensed against Israel, and He said</w:t>
            </w:r>
          </w:p>
        </w:tc>
        <w:tc>
          <w:tcPr>
            <w:tcW w:w="1350" w:type="dxa"/>
            <w:shd w:val="clear" w:color="auto" w:fill="FFFFFF"/>
          </w:tcPr>
          <w:p w14:paraId="49CE4EE2" w14:textId="77777777" w:rsidR="008F13C2" w:rsidRPr="001C147D" w:rsidRDefault="008F13C2" w:rsidP="00CE1540">
            <w:pPr>
              <w:pBdr>
                <w:top w:val="nil"/>
                <w:left w:val="nil"/>
                <w:bottom w:val="nil"/>
                <w:right w:val="nil"/>
                <w:between w:val="nil"/>
              </w:pBdr>
              <w:snapToGrid w:val="0"/>
              <w:spacing w:line="216" w:lineRule="auto"/>
              <w:contextualSpacing/>
              <w:rPr>
                <w:color w:val="000000"/>
                <w:sz w:val="21"/>
                <w:szCs w:val="21"/>
              </w:rPr>
            </w:pPr>
            <w:r w:rsidRPr="001C147D">
              <w:rPr>
                <w:sz w:val="21"/>
                <w:szCs w:val="21"/>
              </w:rPr>
              <w:t>Judg. 2.20</w:t>
            </w:r>
          </w:p>
        </w:tc>
      </w:tr>
    </w:tbl>
    <w:p w14:paraId="303BB3A4" w14:textId="77777777" w:rsidR="00193A80" w:rsidRDefault="00193A80" w:rsidP="00193A80">
      <w:pPr>
        <w:pStyle w:val="Standard1218justified"/>
        <w:rPr>
          <w:lang w:bidi="he-IL"/>
        </w:rPr>
      </w:pPr>
    </w:p>
    <w:p w14:paraId="7D676A4C" w14:textId="0FEFC922" w:rsidR="00193A80" w:rsidRPr="002F5039" w:rsidRDefault="002F5039" w:rsidP="00193A80">
      <w:pPr>
        <w:pStyle w:val="Heading3"/>
      </w:pPr>
      <w:r>
        <w:t xml:space="preserve">Where </w:t>
      </w:r>
      <w:r w:rsidR="00193A80" w:rsidRPr="00B45606">
        <w:t>Angels</w:t>
      </w:r>
      <w:r>
        <w:t xml:space="preserve"> Tread, G</w:t>
      </w:r>
      <w:r>
        <w:rPr>
          <w:smallCaps/>
        </w:rPr>
        <w:t>od</w:t>
      </w:r>
      <w:r>
        <w:t xml:space="preserve"> Does Not</w:t>
      </w:r>
    </w:p>
    <w:p w14:paraId="0540D263" w14:textId="76882139" w:rsidR="00894E75" w:rsidRDefault="007B5C18" w:rsidP="004A1BA2">
      <w:pPr>
        <w:pStyle w:val="StandardFL"/>
      </w:pPr>
      <w:r>
        <w:t xml:space="preserve">Academic literature on the Bible’s angels and its Deity </w:t>
      </w:r>
      <w:r w:rsidR="00894E75">
        <w:t>is</w:t>
      </w:r>
      <w:r>
        <w:t xml:space="preserve"> replete with claims that </w:t>
      </w:r>
      <w:r w:rsidR="00822337">
        <w:t>the</w:t>
      </w:r>
      <w:r w:rsidR="00894E75">
        <w:t xml:space="preserve"> text often conflates the</w:t>
      </w:r>
      <w:r w:rsidR="00822337">
        <w:t xml:space="preserve"> two, such that </w:t>
      </w:r>
      <w:r w:rsidR="004A1BA2">
        <w:t>biblical</w:t>
      </w:r>
      <w:r w:rsidR="00822337">
        <w:t xml:space="preserve"> depiction</w:t>
      </w:r>
      <w:r w:rsidR="004A1BA2">
        <w:t>s</w:t>
      </w:r>
      <w:r w:rsidR="00822337">
        <w:t xml:space="preserve"> of an angel’s body (and gender) hardly distinguish</w:t>
      </w:r>
      <w:r w:rsidR="004A1BA2">
        <w:t xml:space="preserve"> it</w:t>
      </w:r>
      <w:r w:rsidR="00822337">
        <w:t xml:space="preserve"> from G</w:t>
      </w:r>
      <w:r w:rsidR="00822337">
        <w:rPr>
          <w:smallCaps/>
        </w:rPr>
        <w:t>od</w:t>
      </w:r>
      <w:r w:rsidR="00822337">
        <w:t xml:space="preserve">’s ostensible body (and gender). Such </w:t>
      </w:r>
      <w:r w:rsidR="004A1BA2">
        <w:t xml:space="preserve">a </w:t>
      </w:r>
      <w:r w:rsidR="00822337">
        <w:t xml:space="preserve">view </w:t>
      </w:r>
      <w:r w:rsidR="004A1BA2">
        <w:t>strangely</w:t>
      </w:r>
      <w:r w:rsidR="00822337">
        <w:t xml:space="preserve"> ignore</w:t>
      </w:r>
      <w:r w:rsidR="004A1BA2">
        <w:t>s</w:t>
      </w:r>
      <w:r w:rsidR="00C54479">
        <w:t xml:space="preserve"> </w:t>
      </w:r>
      <w:r w:rsidR="00822337">
        <w:t>ancient Near East</w:t>
      </w:r>
      <w:r w:rsidR="00ED30A0">
        <w:t>ern lore</w:t>
      </w:r>
      <w:r w:rsidR="00822337">
        <w:t>—well attested throughout the Hebrew Bible—</w:t>
      </w:r>
      <w:r w:rsidR="00ED30A0">
        <w:t>on</w:t>
      </w:r>
      <w:r w:rsidR="00822337">
        <w:t xml:space="preserve"> </w:t>
      </w:r>
      <w:r w:rsidR="003C550A">
        <w:t xml:space="preserve">how </w:t>
      </w:r>
      <w:r w:rsidR="00C54479">
        <w:t xml:space="preserve">an </w:t>
      </w:r>
      <w:r w:rsidR="003C550A">
        <w:t xml:space="preserve">agent, </w:t>
      </w:r>
      <w:r w:rsidR="00C54479">
        <w:t>along with the related parties involved, was</w:t>
      </w:r>
      <w:r w:rsidR="003C550A">
        <w:t xml:space="preserve"> expected to behave. When those conventions are taken into account, </w:t>
      </w:r>
      <w:r w:rsidR="005B3C36">
        <w:rPr>
          <w:smallCaps/>
        </w:rPr>
        <w:t>God</w:t>
      </w:r>
      <w:r w:rsidR="005B3C36">
        <w:t xml:space="preserve"> is not</w:t>
      </w:r>
      <w:r w:rsidR="004A1BA2">
        <w:t xml:space="preserve"> depicted as</w:t>
      </w:r>
      <w:r w:rsidR="005B3C36">
        <w:t xml:space="preserve"> embodied in the passages in which an agent is on the scene</w:t>
      </w:r>
      <w:r w:rsidR="00894E75">
        <w:t>.</w:t>
      </w:r>
      <w:r w:rsidR="003C550A">
        <w:t xml:space="preserve"> </w:t>
      </w:r>
    </w:p>
    <w:p w14:paraId="78B51CB8" w14:textId="44C7D05D" w:rsidR="00193A80" w:rsidRPr="00B45606" w:rsidRDefault="003C550A" w:rsidP="00894E75">
      <w:pPr>
        <w:pStyle w:val="Standard1218justified"/>
      </w:pPr>
      <w:r>
        <w:t xml:space="preserve">Biblical </w:t>
      </w:r>
      <w:r w:rsidR="00193A80" w:rsidRPr="00B45606">
        <w:t>angels function chiefly as messengers</w:t>
      </w:r>
      <w:r>
        <w:t>;</w:t>
      </w:r>
      <w:r w:rsidR="00193A80" w:rsidRPr="00B45606">
        <w:t xml:space="preserve"> the most frequent term for </w:t>
      </w:r>
      <w:r>
        <w:t>an angel</w:t>
      </w:r>
      <w:r w:rsidR="00193A80" w:rsidRPr="00B45606">
        <w:t xml:space="preserve">, </w:t>
      </w:r>
      <w:r w:rsidR="007B5C18" w:rsidRPr="0088273A">
        <w:rPr>
          <w:rFonts w:hAnsi="SBL BibLit" w:cs="SBL BibLit" w:hint="cs"/>
          <w:rtl/>
          <w:lang w:bidi="he-IL"/>
        </w:rPr>
        <w:t>מַלְאָךְ</w:t>
      </w:r>
      <w:r w:rsidR="007B5C18">
        <w:t xml:space="preserve"> </w:t>
      </w:r>
      <w:proofErr w:type="spellStart"/>
      <w:r w:rsidR="00193A80">
        <w:rPr>
          <w:i/>
          <w:iCs/>
        </w:rPr>
        <w:t>mal’akh</w:t>
      </w:r>
      <w:proofErr w:type="spellEnd"/>
      <w:r w:rsidR="00193A80">
        <w:t xml:space="preserve">, </w:t>
      </w:r>
      <w:r w:rsidR="00193A80" w:rsidRPr="00B45606">
        <w:t>reflects this role.</w:t>
      </w:r>
      <w:r w:rsidR="00193A80" w:rsidRPr="00B45606">
        <w:rPr>
          <w:rStyle w:val="FootnoteReference"/>
        </w:rPr>
        <w:footnoteReference w:id="53"/>
      </w:r>
      <w:r w:rsidR="00193A80" w:rsidRPr="00B45606">
        <w:t xml:space="preserve"> T</w:t>
      </w:r>
      <w:r w:rsidR="00193A80">
        <w:t xml:space="preserve">he present edition preserves the NJPS </w:t>
      </w:r>
      <w:r w:rsidR="00485384">
        <w:t>practice</w:t>
      </w:r>
      <w:r w:rsidR="00193A80">
        <w:t xml:space="preserve"> of rendering </w:t>
      </w:r>
      <w:r w:rsidR="00193A80" w:rsidRPr="0088273A">
        <w:rPr>
          <w:rFonts w:hAnsi="SBL BibLit" w:cs="SBL BibLit" w:hint="cs"/>
          <w:rtl/>
          <w:lang w:bidi="he-IL"/>
        </w:rPr>
        <w:t>מַלְאָךְ</w:t>
      </w:r>
      <w:r w:rsidR="00193A80">
        <w:t xml:space="preserve"> contextually as </w:t>
      </w:r>
      <w:r w:rsidR="00B45606">
        <w:t>“</w:t>
      </w:r>
      <w:r w:rsidR="00193A80">
        <w:t>angel</w:t>
      </w:r>
      <w:r w:rsidR="000E2D74">
        <w:t>.”</w:t>
      </w:r>
      <w:r w:rsidR="00193A80">
        <w:t xml:space="preserve"> At the same time, by footnoting </w:t>
      </w:r>
      <w:r>
        <w:t>its</w:t>
      </w:r>
      <w:r w:rsidR="00193A80">
        <w:t xml:space="preserve"> literal meaning</w:t>
      </w:r>
      <w:r>
        <w:t xml:space="preserve"> as</w:t>
      </w:r>
      <w:r w:rsidR="00CD01FB">
        <w:t xml:space="preserve"> </w:t>
      </w:r>
      <w:r w:rsidR="00B45606">
        <w:t>“</w:t>
      </w:r>
      <w:r w:rsidR="00CD01FB">
        <w:t>messenger</w:t>
      </w:r>
      <w:r w:rsidR="00B45606">
        <w:t>”</w:t>
      </w:r>
      <w:r w:rsidR="00193A80">
        <w:t xml:space="preserve"> when</w:t>
      </w:r>
      <w:r>
        <w:t>ever</w:t>
      </w:r>
      <w:r w:rsidR="00193A80">
        <w:t xml:space="preserve"> </w:t>
      </w:r>
      <w:r w:rsidR="00485384">
        <w:t>it</w:t>
      </w:r>
      <w:r w:rsidR="00193A80">
        <w:t xml:space="preserve"> refers to a specific figure,</w:t>
      </w:r>
      <w:r w:rsidR="00485384" w:rsidRPr="00B45606">
        <w:rPr>
          <w:rStyle w:val="FootnoteReference"/>
        </w:rPr>
        <w:footnoteReference w:id="54"/>
      </w:r>
      <w:r w:rsidR="00193A80">
        <w:t xml:space="preserve"> </w:t>
      </w:r>
      <w:r w:rsidR="00CD01FB">
        <w:t>this edition</w:t>
      </w:r>
      <w:r w:rsidR="00193A80">
        <w:t xml:space="preserve"> </w:t>
      </w:r>
      <w:r w:rsidR="00CD01FB">
        <w:t>prompts</w:t>
      </w:r>
      <w:r w:rsidR="00193A80">
        <w:t xml:space="preserve"> </w:t>
      </w:r>
      <w:r w:rsidR="00ED30A0">
        <w:t>its</w:t>
      </w:r>
      <w:r w:rsidR="00193A80">
        <w:t xml:space="preserve"> reader</w:t>
      </w:r>
      <w:r w:rsidR="00ED30A0">
        <w:t>s</w:t>
      </w:r>
      <w:r w:rsidR="00193A80">
        <w:t xml:space="preserve"> to consider that for the</w:t>
      </w:r>
      <w:r w:rsidR="00193A80" w:rsidRPr="00DF1BCE">
        <w:t xml:space="preserve"> original audience, th</w:t>
      </w:r>
      <w:r>
        <w:t>at celestial</w:t>
      </w:r>
      <w:r w:rsidR="00193A80" w:rsidRPr="00DF1BCE">
        <w:t xml:space="preserve"> </w:t>
      </w:r>
      <w:r w:rsidR="00193A80">
        <w:t>agent</w:t>
      </w:r>
      <w:r w:rsidR="00193A80" w:rsidRPr="00DF1BCE">
        <w:t xml:space="preserve"> w</w:t>
      </w:r>
      <w:r>
        <w:t>a</w:t>
      </w:r>
      <w:r w:rsidR="00193A80" w:rsidRPr="00DF1BCE">
        <w:t>s expected to follow the</w:t>
      </w:r>
      <w:r w:rsidR="00CD01FB">
        <w:t xml:space="preserve"> same</w:t>
      </w:r>
      <w:r w:rsidR="00193A80" w:rsidRPr="00DF1BCE">
        <w:t xml:space="preserve"> protocols observed with human emissaries</w:t>
      </w:r>
      <w:r w:rsidR="00193A80">
        <w:t>.</w:t>
      </w:r>
    </w:p>
    <w:p w14:paraId="5EF30793" w14:textId="77777777" w:rsidR="008F13C2" w:rsidRPr="00B45606" w:rsidRDefault="008F13C2" w:rsidP="008F13C2">
      <w:pPr>
        <w:pBdr>
          <w:top w:val="nil"/>
          <w:left w:val="nil"/>
          <w:bottom w:val="nil"/>
          <w:right w:val="nil"/>
          <w:between w:val="nil"/>
        </w:pBdr>
        <w:rPr>
          <w:rFonts w:asciiTheme="majorBidi" w:hAnsiTheme="majorBidi" w:cstheme="majorBidi"/>
          <w:color w:val="000000"/>
          <w:szCs w:val="24"/>
        </w:rPr>
      </w:pPr>
    </w:p>
    <w:p w14:paraId="2C767D8D" w14:textId="2AD2F9CE" w:rsidR="008F13C2" w:rsidRPr="00B45606" w:rsidRDefault="008F13C2" w:rsidP="008F13C2">
      <w:pPr>
        <w:pStyle w:val="Heading3"/>
      </w:pPr>
      <w:r w:rsidRPr="00B45606">
        <w:t>Agency Metonymy</w:t>
      </w:r>
      <w:r w:rsidR="005A0927">
        <w:t>:</w:t>
      </w:r>
      <w:r w:rsidR="0043732F">
        <w:t xml:space="preserve"> </w:t>
      </w:r>
      <w:r w:rsidR="005A0927">
        <w:t>Whose</w:t>
      </w:r>
      <w:r w:rsidR="0043732F">
        <w:t xml:space="preserve"> Body</w:t>
      </w:r>
      <w:r w:rsidR="005A0927">
        <w:t xml:space="preserve"> Is in View?</w:t>
      </w:r>
    </w:p>
    <w:p w14:paraId="73FB37BA" w14:textId="537BA4F7" w:rsidR="00EB084E" w:rsidRDefault="00485384" w:rsidP="008F13C2">
      <w:pPr>
        <w:pStyle w:val="StandardFL"/>
      </w:pPr>
      <w:r>
        <w:t>A</w:t>
      </w:r>
      <w:r w:rsidR="005B3C36">
        <w:t>ncient conventions for agency</w:t>
      </w:r>
      <w:r w:rsidR="00C54479">
        <w:t xml:space="preserve"> (the </w:t>
      </w:r>
      <w:r w:rsidR="00C54479" w:rsidRPr="00EB1810">
        <w:t xml:space="preserve">endeavor </w:t>
      </w:r>
      <w:r w:rsidR="00C54479">
        <w:t>in which an agent is acting on behalf of some other party</w:t>
      </w:r>
      <w:r w:rsidR="00FC1738">
        <w:t>, known as the principal</w:t>
      </w:r>
      <w:r w:rsidR="00C54479">
        <w:t>)</w:t>
      </w:r>
      <w:r w:rsidR="005B3C36">
        <w:t xml:space="preserve"> include how</w:t>
      </w:r>
      <w:r>
        <w:t xml:space="preserve"> to talk about it</w:t>
      </w:r>
      <w:r w:rsidR="005B3C36">
        <w:t xml:space="preserve">. </w:t>
      </w:r>
      <w:r w:rsidR="00FC1738">
        <w:t xml:space="preserve">The </w:t>
      </w:r>
      <w:proofErr w:type="spellStart"/>
      <w:r w:rsidR="00FC1738">
        <w:t>misconstrual</w:t>
      </w:r>
      <w:proofErr w:type="spellEnd"/>
      <w:r w:rsidR="00FC1738">
        <w:t xml:space="preserve"> of </w:t>
      </w:r>
      <w:r>
        <w:t>one such</w:t>
      </w:r>
      <w:r w:rsidR="008F13C2">
        <w:t xml:space="preserve"> linguistic convention has all too often </w:t>
      </w:r>
      <w:r w:rsidR="0028383B">
        <w:t>prompted</w:t>
      </w:r>
      <w:r w:rsidR="008F13C2">
        <w:t xml:space="preserve"> </w:t>
      </w:r>
      <w:r w:rsidR="0028383B">
        <w:t xml:space="preserve">modern </w:t>
      </w:r>
      <w:r w:rsidR="008F13C2">
        <w:t xml:space="preserve">readers </w:t>
      </w:r>
      <w:r w:rsidR="0028383B">
        <w:t>to perceive</w:t>
      </w:r>
      <w:r w:rsidR="008F13C2">
        <w:t xml:space="preserve"> </w:t>
      </w:r>
      <w:r w:rsidR="00F961E2">
        <w:rPr>
          <w:smallCaps/>
        </w:rPr>
        <w:t>God</w:t>
      </w:r>
      <w:r w:rsidR="00CA7147">
        <w:t xml:space="preserve"> as </w:t>
      </w:r>
      <w:r w:rsidR="00696277">
        <w:t>being</w:t>
      </w:r>
      <w:r w:rsidR="00CA7147">
        <w:t xml:space="preserve"> </w:t>
      </w:r>
      <w:r w:rsidR="00696277">
        <w:t>male</w:t>
      </w:r>
      <w:r w:rsidR="008F13C2">
        <w:t xml:space="preserve">. </w:t>
      </w:r>
      <w:r w:rsidR="00F961E2">
        <w:t>A</w:t>
      </w:r>
      <w:r w:rsidR="008F13C2" w:rsidRPr="00EB1810">
        <w:t xml:space="preserve">pplied </w:t>
      </w:r>
      <w:r w:rsidR="00FC1738">
        <w:t>in</w:t>
      </w:r>
      <w:r w:rsidR="008F13C2" w:rsidRPr="00EB1810">
        <w:t xml:space="preserve"> the Bible</w:t>
      </w:r>
      <w:r w:rsidR="00FC1738">
        <w:t xml:space="preserve"> most often</w:t>
      </w:r>
      <w:r w:rsidR="008F13C2" w:rsidRPr="00EB1810">
        <w:t xml:space="preserve"> to interactions</w:t>
      </w:r>
      <w:r w:rsidR="00F961E2">
        <w:t xml:space="preserve"> between people</w:t>
      </w:r>
      <w:r w:rsidR="008F13C2">
        <w:t>,</w:t>
      </w:r>
      <w:r w:rsidR="008F13C2" w:rsidRPr="00EB1810">
        <w:t xml:space="preserve"> </w:t>
      </w:r>
      <w:r w:rsidR="00C54479">
        <w:t xml:space="preserve">this convention </w:t>
      </w:r>
      <w:r w:rsidR="008F13C2" w:rsidRPr="00EB1810">
        <w:t>nam</w:t>
      </w:r>
      <w:r w:rsidR="00FC1738">
        <w:t>es</w:t>
      </w:r>
      <w:r w:rsidR="008F13C2" w:rsidRPr="00EB1810">
        <w:t xml:space="preserve"> only the principal</w:t>
      </w:r>
      <w:r w:rsidR="00FC1738">
        <w:t xml:space="preserve"> yet also invokes the agent</w:t>
      </w:r>
      <w:r w:rsidR="008F13C2">
        <w:t>.</w:t>
      </w:r>
      <w:r w:rsidR="00FC1738">
        <w:t xml:space="preserve"> </w:t>
      </w:r>
      <w:r w:rsidR="0028383B">
        <w:t>Hence</w:t>
      </w:r>
      <w:r w:rsidR="00E24833">
        <w:t xml:space="preserve"> it</w:t>
      </w:r>
      <w:r w:rsidR="00FC1738">
        <w:t xml:space="preserve"> succinctly makes </w:t>
      </w:r>
      <w:r w:rsidR="00FC1738" w:rsidRPr="00EB1810">
        <w:t>refer</w:t>
      </w:r>
      <w:r w:rsidR="00FC1738">
        <w:t>ence</w:t>
      </w:r>
      <w:r w:rsidR="00FC1738" w:rsidRPr="00EB1810">
        <w:t xml:space="preserve"> to </w:t>
      </w:r>
      <w:r w:rsidR="00FC1738" w:rsidRPr="005A0927">
        <w:rPr>
          <w:i/>
          <w:iCs/>
        </w:rPr>
        <w:t>both parties at once</w:t>
      </w:r>
      <w:r w:rsidR="00FC1738">
        <w:t>.</w:t>
      </w:r>
      <w:r w:rsidR="008F13C2">
        <w:rPr>
          <w:rStyle w:val="FootnoteReference"/>
        </w:rPr>
        <w:footnoteReference w:id="55"/>
      </w:r>
      <w:r w:rsidR="008F13C2">
        <w:t xml:space="preserve"> </w:t>
      </w:r>
      <w:r w:rsidR="006679E3">
        <w:t>T</w:t>
      </w:r>
      <w:r w:rsidR="00696277">
        <w:t xml:space="preserve">he </w:t>
      </w:r>
      <w:r w:rsidR="006679E3">
        <w:t xml:space="preserve">two parties </w:t>
      </w:r>
      <w:r w:rsidR="00696277">
        <w:t xml:space="preserve">can be verbally linked in this way because the </w:t>
      </w:r>
      <w:r w:rsidR="006679E3">
        <w:t xml:space="preserve">agent </w:t>
      </w:r>
      <w:r w:rsidR="00696277">
        <w:t xml:space="preserve">is </w:t>
      </w:r>
      <w:r w:rsidR="006679E3">
        <w:t xml:space="preserve">conceived of as </w:t>
      </w:r>
      <w:r w:rsidR="00696277">
        <w:t xml:space="preserve">standing in for the </w:t>
      </w:r>
      <w:r w:rsidR="006679E3">
        <w:t>principal</w:t>
      </w:r>
      <w:r w:rsidR="00696277">
        <w:t>.</w:t>
      </w:r>
    </w:p>
    <w:p w14:paraId="58BB5A52" w14:textId="437AC99F" w:rsidR="008F13C2" w:rsidRDefault="008F13C2" w:rsidP="00E24833">
      <w:pPr>
        <w:pStyle w:val="Standard1218justified"/>
      </w:pPr>
      <w:r>
        <w:t xml:space="preserve">In the cases of interest here, the </w:t>
      </w:r>
      <w:r w:rsidR="00324A31">
        <w:t>principal</w:t>
      </w:r>
      <w:r w:rsidR="00F961E2">
        <w:t xml:space="preserve"> is</w:t>
      </w:r>
      <w:r w:rsidR="00EB084E">
        <w:t xml:space="preserve"> not human but rather</w:t>
      </w:r>
      <w:r w:rsidR="00F961E2">
        <w:t xml:space="preserve"> </w:t>
      </w:r>
      <w:r w:rsidR="00F961E2">
        <w:rPr>
          <w:smallCaps/>
        </w:rPr>
        <w:t>God</w:t>
      </w:r>
      <w:r w:rsidR="00F961E2">
        <w:t>,</w:t>
      </w:r>
      <w:r>
        <w:t xml:space="preserve"> </w:t>
      </w:r>
      <w:r w:rsidR="00F961E2">
        <w:t xml:space="preserve">who is </w:t>
      </w:r>
      <w:r w:rsidR="006679E3">
        <w:t>said to</w:t>
      </w:r>
      <w:r>
        <w:t xml:space="preserve"> </w:t>
      </w:r>
      <w:r w:rsidR="00E72E14">
        <w:t>be on the scene</w:t>
      </w:r>
      <w:r w:rsidR="00F961E2">
        <w:t>—and</w:t>
      </w:r>
      <w:r>
        <w:t xml:space="preserve"> the audience is supposed to infer </w:t>
      </w:r>
      <w:r w:rsidR="005C3AED">
        <w:t>that</w:t>
      </w:r>
      <w:r>
        <w:t xml:space="preserve"> an angel or a human messenger</w:t>
      </w:r>
      <w:r w:rsidR="005C3AED">
        <w:t xml:space="preserve"> </w:t>
      </w:r>
      <w:r w:rsidR="00E72E14">
        <w:t xml:space="preserve">is </w:t>
      </w:r>
      <w:r w:rsidR="005C3AED">
        <w:t xml:space="preserve">actually </w:t>
      </w:r>
      <w:r w:rsidR="006679E3">
        <w:t>present</w:t>
      </w:r>
      <w:r>
        <w:t>.</w:t>
      </w:r>
      <w:r w:rsidR="00CC5F8B">
        <w:rPr>
          <w:rStyle w:val="FootnoteReference"/>
        </w:rPr>
        <w:footnoteReference w:id="56"/>
      </w:r>
      <w:r w:rsidR="001D0E7A">
        <w:t xml:space="preserve"> For example, when </w:t>
      </w:r>
      <w:r w:rsidR="002461F2">
        <w:t>a</w:t>
      </w:r>
      <w:r w:rsidR="001D0E7A">
        <w:t xml:space="preserve"> narrator</w:t>
      </w:r>
      <w:r w:rsidR="002461F2">
        <w:t xml:space="preserve"> in Genesis</w:t>
      </w:r>
      <w:r w:rsidR="001D0E7A">
        <w:t xml:space="preserve">, </w:t>
      </w:r>
      <w:r w:rsidR="002461F2">
        <w:t>while</w:t>
      </w:r>
      <w:r w:rsidR="001D0E7A">
        <w:t xml:space="preserve"> </w:t>
      </w:r>
      <w:r w:rsidR="00E72E14">
        <w:t>transitioning between</w:t>
      </w:r>
      <w:r w:rsidR="00E8377B">
        <w:t xml:space="preserve"> scene</w:t>
      </w:r>
      <w:r w:rsidR="00E72E14">
        <w:t>s</w:t>
      </w:r>
      <w:r w:rsidR="001D0E7A">
        <w:t xml:space="preserve">, </w:t>
      </w:r>
      <w:r w:rsidR="00E8377B">
        <w:t xml:space="preserve">recounts that </w:t>
      </w:r>
      <w:proofErr w:type="spellStart"/>
      <w:r w:rsidR="00E8377B" w:rsidRPr="00E8377B">
        <w:rPr>
          <w:rFonts w:ascii="SBL BibLit" w:hAnsi="SBL BibLit" w:cs="SBL BibLit" w:hint="cs"/>
          <w:color w:val="000000"/>
          <w:rtl/>
        </w:rPr>
        <w:t>עוֹדֶנּו</w:t>
      </w:r>
      <w:proofErr w:type="spellEnd"/>
      <w:r w:rsidR="00E8377B" w:rsidRPr="00E8377B">
        <w:rPr>
          <w:rFonts w:ascii="SBL BibLit" w:hAnsi="SBL BibLit" w:cs="SBL BibLit" w:hint="cs"/>
          <w:color w:val="000000"/>
          <w:rtl/>
        </w:rPr>
        <w:t xml:space="preserve">ּ </w:t>
      </w:r>
      <w:proofErr w:type="spellStart"/>
      <w:r w:rsidR="00E8377B" w:rsidRPr="00E8377B">
        <w:rPr>
          <w:rFonts w:ascii="SBL BibLit" w:hAnsi="SBL BibLit" w:cs="SBL BibLit" w:hint="cs"/>
          <w:color w:val="000000"/>
          <w:rtl/>
        </w:rPr>
        <w:t>עֹמֵד</w:t>
      </w:r>
      <w:proofErr w:type="spellEnd"/>
      <w:r w:rsidR="00E8377B" w:rsidRPr="00E8377B">
        <w:rPr>
          <w:rFonts w:ascii="SBL BibLit" w:hAnsi="SBL BibLit" w:cs="SBL BibLit" w:hint="cs"/>
          <w:color w:val="000000"/>
          <w:rtl/>
        </w:rPr>
        <w:t xml:space="preserve"> </w:t>
      </w:r>
      <w:proofErr w:type="spellStart"/>
      <w:r w:rsidR="00E8377B" w:rsidRPr="00E8377B">
        <w:rPr>
          <w:rFonts w:ascii="SBL BibLit" w:hAnsi="SBL BibLit" w:cs="SBL BibLit" w:hint="cs"/>
          <w:color w:val="000000"/>
          <w:rtl/>
        </w:rPr>
        <w:t>לִפְנֵי</w:t>
      </w:r>
      <w:proofErr w:type="spellEnd"/>
      <w:r w:rsidR="00E8377B" w:rsidRPr="00E8377B">
        <w:rPr>
          <w:rFonts w:ascii="SBL BibLit" w:hAnsi="SBL BibLit" w:cs="SBL BibLit" w:hint="cs"/>
          <w:color w:val="000000"/>
          <w:rtl/>
        </w:rPr>
        <w:t xml:space="preserve"> </w:t>
      </w:r>
      <w:proofErr w:type="spellStart"/>
      <w:r w:rsidR="00E8377B" w:rsidRPr="00E8377B">
        <w:rPr>
          <w:rFonts w:ascii="SBL BibLit" w:hAnsi="SBL BibLit" w:cs="SBL BibLit" w:hint="cs"/>
          <w:color w:val="000000"/>
          <w:rtl/>
        </w:rPr>
        <w:t>יְ</w:t>
      </w:r>
      <w:r w:rsidR="00465728">
        <w:rPr>
          <w:rFonts w:ascii="SBL BibLit" w:hAnsi="SBL BibLit" w:cs="SBL BibLit"/>
          <w:color w:val="000000"/>
          <w:rtl/>
        </w:rPr>
        <w:t>י</w:t>
      </w:r>
      <w:proofErr w:type="spellEnd"/>
      <w:r w:rsidR="00E8377B" w:rsidRPr="00E8377B">
        <w:rPr>
          <w:rFonts w:ascii="SBL BibLit" w:hAnsi="SBL BibLit" w:cs="SBL BibLit" w:hint="cs"/>
          <w:color w:val="000000"/>
          <w:rtl/>
        </w:rPr>
        <w:t>ָ</w:t>
      </w:r>
      <w:r w:rsidR="002461F2">
        <w:rPr>
          <w:rFonts w:ascii="SBL BibLit" w:hAnsi="SBL BibLit" w:cs="SBL BibLit"/>
          <w:color w:val="000000"/>
        </w:rPr>
        <w:t xml:space="preserve"> </w:t>
      </w:r>
      <w:proofErr w:type="spellStart"/>
      <w:r w:rsidR="002461F2" w:rsidRPr="002461F2">
        <w:rPr>
          <w:rFonts w:ascii="SBL BibLit" w:hAnsi="SBL BibLit" w:cs="SBL BibLit" w:hint="cs"/>
          <w:color w:val="000000"/>
          <w:rtl/>
        </w:rPr>
        <w:t>וְאַבְרָהָם</w:t>
      </w:r>
      <w:proofErr w:type="spellEnd"/>
      <w:r w:rsidR="001D0E7A">
        <w:t xml:space="preserve"> </w:t>
      </w:r>
      <w:r w:rsidR="002461F2">
        <w:rPr>
          <w:i/>
          <w:iCs/>
        </w:rPr>
        <w:t>we-’A</w:t>
      </w:r>
      <w:r w:rsidR="00E72E14">
        <w:rPr>
          <w:i/>
          <w:iCs/>
        </w:rPr>
        <w:t>v</w:t>
      </w:r>
      <w:r w:rsidR="002461F2">
        <w:rPr>
          <w:i/>
          <w:iCs/>
        </w:rPr>
        <w:t xml:space="preserve">raham </w:t>
      </w:r>
      <w:r w:rsidR="00901E74">
        <w:rPr>
          <w:i/>
          <w:iCs/>
        </w:rPr>
        <w:t>‘</w:t>
      </w:r>
      <w:proofErr w:type="spellStart"/>
      <w:r w:rsidR="00901E74">
        <w:rPr>
          <w:i/>
          <w:iCs/>
        </w:rPr>
        <w:t>odennu</w:t>
      </w:r>
      <w:proofErr w:type="spellEnd"/>
      <w:r w:rsidR="00901E74">
        <w:rPr>
          <w:i/>
          <w:iCs/>
        </w:rPr>
        <w:t xml:space="preserve"> ‘</w:t>
      </w:r>
      <w:proofErr w:type="spellStart"/>
      <w:r w:rsidR="00901E74">
        <w:rPr>
          <w:i/>
          <w:iCs/>
        </w:rPr>
        <w:t>omed</w:t>
      </w:r>
      <w:proofErr w:type="spellEnd"/>
      <w:r w:rsidR="00901E74">
        <w:rPr>
          <w:i/>
          <w:iCs/>
        </w:rPr>
        <w:t xml:space="preserve"> </w:t>
      </w:r>
      <w:proofErr w:type="spellStart"/>
      <w:r w:rsidR="00901E74">
        <w:rPr>
          <w:i/>
          <w:iCs/>
        </w:rPr>
        <w:t>liphne</w:t>
      </w:r>
      <w:proofErr w:type="spellEnd"/>
      <w:r w:rsidR="00901E74">
        <w:rPr>
          <w:i/>
          <w:iCs/>
        </w:rPr>
        <w:t xml:space="preserve"> Y-h-w-h</w:t>
      </w:r>
      <w:r w:rsidR="00901E74">
        <w:t xml:space="preserve"> </w:t>
      </w:r>
      <w:r w:rsidR="001D0E7A">
        <w:t>“</w:t>
      </w:r>
      <w:r w:rsidR="00E8377B" w:rsidRPr="00E8377B">
        <w:t xml:space="preserve">Abraham remained standing before </w:t>
      </w:r>
      <w:r w:rsidR="001D0E7A">
        <w:rPr>
          <w:smallCaps/>
        </w:rPr>
        <w:t>God</w:t>
      </w:r>
      <w:r w:rsidR="001D0E7A">
        <w:t>” (1</w:t>
      </w:r>
      <w:r w:rsidR="00E8377B">
        <w:t>8</w:t>
      </w:r>
      <w:r w:rsidR="001D0E7A">
        <w:t>.</w:t>
      </w:r>
      <w:r w:rsidR="00E8377B">
        <w:t>22</w:t>
      </w:r>
      <w:r w:rsidR="001D0E7A">
        <w:t xml:space="preserve">), this is not a claim </w:t>
      </w:r>
      <w:r w:rsidR="00E8377B">
        <w:t xml:space="preserve">that </w:t>
      </w:r>
      <w:r w:rsidR="00E8377B">
        <w:rPr>
          <w:smallCaps/>
        </w:rPr>
        <w:t>God</w:t>
      </w:r>
      <w:r w:rsidR="00E8377B">
        <w:t xml:space="preserve"> was literally visible</w:t>
      </w:r>
      <w:r w:rsidR="00465728">
        <w:t xml:space="preserve"> to Abraham</w:t>
      </w:r>
      <w:r w:rsidR="00E8377B">
        <w:t xml:space="preserve">. Rather, </w:t>
      </w:r>
      <w:r w:rsidR="00BD5610">
        <w:t xml:space="preserve">the oddity of </w:t>
      </w:r>
      <w:r w:rsidR="00D375EA">
        <w:t xml:space="preserve">the locution (in context) indicates that </w:t>
      </w:r>
      <w:r w:rsidR="00033A59">
        <w:t xml:space="preserve">here </w:t>
      </w:r>
      <w:r w:rsidR="00465728">
        <w:rPr>
          <w:smallCaps/>
        </w:rPr>
        <w:t>God’</w:t>
      </w:r>
      <w:r w:rsidR="00465728">
        <w:t>s name</w:t>
      </w:r>
      <w:r w:rsidR="00033A59">
        <w:t xml:space="preserve"> </w:t>
      </w:r>
      <w:r w:rsidR="00901E74">
        <w:t xml:space="preserve">is a </w:t>
      </w:r>
      <w:r w:rsidR="00465728">
        <w:t xml:space="preserve">conventional </w:t>
      </w:r>
      <w:r w:rsidR="00901E74">
        <w:t>metonym</w:t>
      </w:r>
      <w:r w:rsidR="00D375EA">
        <w:t>:</w:t>
      </w:r>
      <w:r w:rsidR="00E24833">
        <w:rPr>
          <w:rStyle w:val="FootnoteReference"/>
        </w:rPr>
        <w:footnoteReference w:id="57"/>
      </w:r>
      <w:r w:rsidR="00D375EA">
        <w:t xml:space="preserve"> it</w:t>
      </w:r>
      <w:r w:rsidR="00901E74">
        <w:t xml:space="preserve"> </w:t>
      </w:r>
      <w:r w:rsidR="00696277">
        <w:t>expresses</w:t>
      </w:r>
      <w:r w:rsidR="00901E74">
        <w:t xml:space="preserve"> that</w:t>
      </w:r>
      <w:r w:rsidR="00465728">
        <w:t xml:space="preserve"> in the ensuing dialogue,</w:t>
      </w:r>
      <w:r w:rsidR="00901E74">
        <w:t xml:space="preserve"> </w:t>
      </w:r>
      <w:r w:rsidR="00901E74" w:rsidRPr="00901E74">
        <w:t>the remaining agent</w:t>
      </w:r>
      <w:r w:rsidR="00D375EA">
        <w:t>—</w:t>
      </w:r>
      <w:r w:rsidR="00465728">
        <w:t xml:space="preserve">the last </w:t>
      </w:r>
      <w:r w:rsidR="00901E74">
        <w:t>of the three visitors</w:t>
      </w:r>
      <w:r w:rsidR="00D375EA">
        <w:t>—</w:t>
      </w:r>
      <w:r w:rsidR="006A0394">
        <w:t>will be</w:t>
      </w:r>
      <w:r w:rsidR="00901E74">
        <w:t xml:space="preserve"> </w:t>
      </w:r>
      <w:r w:rsidR="00901E74" w:rsidRPr="00901E74">
        <w:t xml:space="preserve">speaking </w:t>
      </w:r>
      <w:r w:rsidR="00E24833">
        <w:t>for</w:t>
      </w:r>
      <w:r w:rsidR="00901E74" w:rsidRPr="00901E74">
        <w:t xml:space="preserve"> G</w:t>
      </w:r>
      <w:r w:rsidR="00901E74" w:rsidRPr="00901E74">
        <w:rPr>
          <w:smallCaps/>
        </w:rPr>
        <w:t>od</w:t>
      </w:r>
      <w:r w:rsidR="00901E74">
        <w:t>.</w:t>
      </w:r>
    </w:p>
    <w:p w14:paraId="751C15A2" w14:textId="34D29592" w:rsidR="00E24833" w:rsidRPr="00E8377B" w:rsidRDefault="007E1DF7" w:rsidP="00E24833">
      <w:pPr>
        <w:pStyle w:val="Standard1218justified"/>
      </w:pPr>
      <w:r>
        <w:t>In sum, a</w:t>
      </w:r>
      <w:r w:rsidR="00974BDA">
        <w:t xml:space="preserve"> </w:t>
      </w:r>
      <w:r w:rsidR="00E24833">
        <w:t>r</w:t>
      </w:r>
      <w:r w:rsidR="00E24833" w:rsidRPr="00EB1810">
        <w:t>eferential anomal</w:t>
      </w:r>
      <w:r w:rsidR="00974BDA">
        <w:t>y</w:t>
      </w:r>
      <w:r w:rsidR="00E24833">
        <w:t xml:space="preserve"> encoded</w:t>
      </w:r>
      <w:r w:rsidR="00E24833" w:rsidRPr="00EB1810">
        <w:t xml:space="preserve"> in </w:t>
      </w:r>
      <w:r w:rsidR="00974BDA">
        <w:t>the text</w:t>
      </w:r>
      <w:r w:rsidR="00E24833">
        <w:t xml:space="preserve"> signal</w:t>
      </w:r>
      <w:r w:rsidR="00974BDA">
        <w:t>s</w:t>
      </w:r>
      <w:r w:rsidR="00E24833">
        <w:t xml:space="preserve"> to the audience that the </w:t>
      </w:r>
      <w:r>
        <w:t>label</w:t>
      </w:r>
      <w:r w:rsidR="00E24833">
        <w:t xml:space="preserve"> is not meant to be taken literally. </w:t>
      </w:r>
      <w:r w:rsidR="00696277">
        <w:t>T</w:t>
      </w:r>
      <w:r w:rsidR="00E24833">
        <w:t>he text’s plain sense</w:t>
      </w:r>
      <w:r w:rsidR="006679E3">
        <w:t xml:space="preserve"> thus</w:t>
      </w:r>
      <w:r w:rsidR="00E24833">
        <w:t xml:space="preserve"> diverges from its literal meaning</w:t>
      </w:r>
      <w:r>
        <w:t>. The</w:t>
      </w:r>
      <w:r w:rsidR="00E24833">
        <w:t xml:space="preserve"> metonym underscore</w:t>
      </w:r>
      <w:r>
        <w:t>s</w:t>
      </w:r>
      <w:r w:rsidR="00E24833">
        <w:t xml:space="preserve"> that the agent</w:t>
      </w:r>
      <w:r w:rsidR="00E24833" w:rsidRPr="00B45606">
        <w:t>’s s</w:t>
      </w:r>
      <w:r w:rsidR="00E24833">
        <w:t xml:space="preserve">peech or action is made on </w:t>
      </w:r>
      <w:r w:rsidR="00E24833">
        <w:rPr>
          <w:smallCaps/>
        </w:rPr>
        <w:t>God</w:t>
      </w:r>
      <w:r w:rsidR="00E24833" w:rsidRPr="00B45606">
        <w:t>’s b</w:t>
      </w:r>
      <w:r w:rsidR="00E24833">
        <w:t>ehalf.</w:t>
      </w:r>
      <w:r w:rsidR="00696277">
        <w:t xml:space="preserve"> </w:t>
      </w:r>
    </w:p>
    <w:p w14:paraId="02CF1908" w14:textId="26FBDDC1" w:rsidR="00CB7529" w:rsidRDefault="008F13C2" w:rsidP="008F13C2">
      <w:pPr>
        <w:pStyle w:val="Standard1218justified"/>
      </w:pPr>
      <w:r>
        <w:t>As with all metonyms, agency-</w:t>
      </w:r>
      <w:r w:rsidR="005E53A3">
        <w:t>based</w:t>
      </w:r>
      <w:r>
        <w:t xml:space="preserve"> ones can get lost in translation from one language to another. </w:t>
      </w:r>
      <w:r w:rsidR="00CB7529">
        <w:t>Some conventions differ between a</w:t>
      </w:r>
      <w:r>
        <w:t xml:space="preserve">ncient Hebrew </w:t>
      </w:r>
      <w:r w:rsidR="00CB7529">
        <w:t>and</w:t>
      </w:r>
      <w:r>
        <w:t xml:space="preserve"> English. </w:t>
      </w:r>
      <w:r w:rsidR="00CB7529">
        <w:t>A</w:t>
      </w:r>
      <w:r w:rsidR="005404E0">
        <w:t xml:space="preserve">n </w:t>
      </w:r>
      <w:r>
        <w:t xml:space="preserve">audience </w:t>
      </w:r>
      <w:r w:rsidR="00CB7529">
        <w:t>that misses the cue to read</w:t>
      </w:r>
      <w:r w:rsidR="007E1DF7">
        <w:t xml:space="preserve"> the label</w:t>
      </w:r>
      <w:r w:rsidR="00CB7529">
        <w:t xml:space="preserve"> figuratively will c</w:t>
      </w:r>
      <w:r w:rsidR="005404E0">
        <w:t>onflat</w:t>
      </w:r>
      <w:r w:rsidR="00CB7529">
        <w:t>e</w:t>
      </w:r>
      <w:r w:rsidR="005404E0">
        <w:t xml:space="preserve"> the</w:t>
      </w:r>
      <w:r w:rsidR="0043732F">
        <w:t xml:space="preserve"> dual</w:t>
      </w:r>
      <w:r w:rsidR="005404E0">
        <w:t xml:space="preserve"> reference</w:t>
      </w:r>
      <w:r w:rsidR="00CB7529">
        <w:t xml:space="preserve">. </w:t>
      </w:r>
      <w:r w:rsidR="00BD3262">
        <w:t>I</w:t>
      </w:r>
      <w:r>
        <w:t>nformation</w:t>
      </w:r>
      <w:r w:rsidR="005404E0">
        <w:t xml:space="preserve"> that is</w:t>
      </w:r>
      <w:r>
        <w:t xml:space="preserve"> </w:t>
      </w:r>
      <w:r w:rsidR="005404E0">
        <w:t xml:space="preserve">conveyed </w:t>
      </w:r>
      <w:r>
        <w:t>about the agent</w:t>
      </w:r>
      <w:r w:rsidRPr="00B45606">
        <w:t>’s (</w:t>
      </w:r>
      <w:r>
        <w:t>gendered) body</w:t>
      </w:r>
      <w:r w:rsidR="00BD3262">
        <w:t xml:space="preserve"> is then mistaken</w:t>
      </w:r>
      <w:r>
        <w:t xml:space="preserve"> as being</w:t>
      </w:r>
      <w:r w:rsidR="007B7AEA">
        <w:t xml:space="preserve"> </w:t>
      </w:r>
      <w:r>
        <w:t>about God</w:t>
      </w:r>
      <w:r w:rsidRPr="00B45606">
        <w:t>’s o</w:t>
      </w:r>
      <w:r>
        <w:t>stensible body.</w:t>
      </w:r>
      <w:r w:rsidR="009D2FA5">
        <w:rPr>
          <w:rStyle w:val="FootnoteReference"/>
        </w:rPr>
        <w:footnoteReference w:id="58"/>
      </w:r>
      <w:r>
        <w:t xml:space="preserve"> </w:t>
      </w:r>
    </w:p>
    <w:p w14:paraId="2684DC4C" w14:textId="20DE77C0" w:rsidR="008F13C2" w:rsidRPr="008918C2" w:rsidRDefault="00CB7529" w:rsidP="008F13C2">
      <w:pPr>
        <w:pStyle w:val="Standard1218justified"/>
        <w:rPr>
          <w:rFonts w:asciiTheme="majorBidi" w:hAnsiTheme="majorBidi" w:cstheme="majorBidi"/>
          <w:color w:val="000000"/>
        </w:rPr>
      </w:pPr>
      <w:r>
        <w:t>T</w:t>
      </w:r>
      <w:r w:rsidR="008F13C2">
        <w:t xml:space="preserve">o avoid </w:t>
      </w:r>
      <w:r>
        <w:t>a literal reading of agency metonyms that are not conventional in English</w:t>
      </w:r>
      <w:r w:rsidR="008F13C2">
        <w:t>, and for the sake of maintaining gender accuracy with respect to Israel</w:t>
      </w:r>
      <w:r w:rsidR="008F13C2" w:rsidRPr="00B45606">
        <w:t>’s G</w:t>
      </w:r>
      <w:r w:rsidR="008F13C2">
        <w:t>od, this edition provides a clarifying footnote</w:t>
      </w:r>
      <w:r w:rsidR="00782E0D">
        <w:t>, as needed</w:t>
      </w:r>
      <w:r w:rsidR="008F13C2">
        <w:t>.</w:t>
      </w:r>
      <w:r w:rsidR="00196AC2">
        <w:rPr>
          <w:rStyle w:val="FootnoteReference"/>
        </w:rPr>
        <w:footnoteReference w:id="59"/>
      </w:r>
      <w:r w:rsidR="008F13C2">
        <w:t xml:space="preserve"> </w:t>
      </w:r>
    </w:p>
    <w:p w14:paraId="4D955DEC" w14:textId="77777777" w:rsidR="00DE4E25" w:rsidRPr="00B45606" w:rsidRDefault="00DE4E25" w:rsidP="00DE4E25">
      <w:pPr>
        <w:pBdr>
          <w:top w:val="nil"/>
          <w:left w:val="nil"/>
          <w:bottom w:val="nil"/>
          <w:right w:val="nil"/>
          <w:between w:val="nil"/>
        </w:pBdr>
        <w:spacing w:line="240" w:lineRule="auto"/>
        <w:rPr>
          <w:rFonts w:asciiTheme="majorBidi" w:hAnsiTheme="majorBidi" w:cstheme="majorBidi"/>
          <w:sz w:val="21"/>
          <w:szCs w:val="21"/>
        </w:rPr>
      </w:pPr>
    </w:p>
    <w:p w14:paraId="71191638" w14:textId="501FDCF2" w:rsidR="00865228" w:rsidRDefault="00DE4E25" w:rsidP="00DE4E25">
      <w:pPr>
        <w:pBdr>
          <w:top w:val="nil"/>
          <w:left w:val="nil"/>
          <w:bottom w:val="nil"/>
          <w:right w:val="nil"/>
          <w:between w:val="nil"/>
        </w:pBdr>
        <w:spacing w:line="240" w:lineRule="auto"/>
        <w:jc w:val="center"/>
        <w:rPr>
          <w:rFonts w:asciiTheme="majorBidi" w:hAnsiTheme="majorBidi" w:cstheme="majorBidi"/>
          <w:sz w:val="21"/>
          <w:szCs w:val="21"/>
        </w:rPr>
      </w:pPr>
      <w:r w:rsidRPr="00B45606">
        <w:rPr>
          <w:rFonts w:asciiTheme="majorBidi" w:hAnsiTheme="majorBidi" w:cstheme="majorBidi"/>
          <w:sz w:val="21"/>
          <w:szCs w:val="21"/>
        </w:rPr>
        <w:t>*</w:t>
      </w:r>
      <w:r w:rsidRPr="00B45606">
        <w:rPr>
          <w:rFonts w:asciiTheme="majorBidi" w:hAnsiTheme="majorBidi" w:cstheme="majorBidi"/>
          <w:sz w:val="21"/>
          <w:szCs w:val="21"/>
        </w:rPr>
        <w:tab/>
      </w:r>
      <w:r w:rsidRPr="00B45606">
        <w:rPr>
          <w:rFonts w:asciiTheme="majorBidi" w:hAnsiTheme="majorBidi" w:cstheme="majorBidi"/>
          <w:sz w:val="21"/>
          <w:szCs w:val="21"/>
        </w:rPr>
        <w:tab/>
        <w:t>*</w:t>
      </w:r>
      <w:r w:rsidRPr="00B45606">
        <w:rPr>
          <w:rFonts w:asciiTheme="majorBidi" w:hAnsiTheme="majorBidi" w:cstheme="majorBidi"/>
          <w:sz w:val="21"/>
          <w:szCs w:val="21"/>
        </w:rPr>
        <w:tab/>
      </w:r>
      <w:r w:rsidRPr="00B45606">
        <w:rPr>
          <w:rFonts w:asciiTheme="majorBidi" w:hAnsiTheme="majorBidi" w:cstheme="majorBidi"/>
          <w:sz w:val="21"/>
          <w:szCs w:val="21"/>
        </w:rPr>
        <w:tab/>
        <w:t>*</w:t>
      </w:r>
    </w:p>
    <w:p w14:paraId="716C1271" w14:textId="77777777" w:rsidR="00F12C9F" w:rsidRPr="00B45606" w:rsidRDefault="00F12C9F" w:rsidP="00DE4E25">
      <w:pPr>
        <w:pBdr>
          <w:top w:val="nil"/>
          <w:left w:val="nil"/>
          <w:bottom w:val="nil"/>
          <w:right w:val="nil"/>
          <w:between w:val="nil"/>
        </w:pBdr>
        <w:spacing w:line="240" w:lineRule="auto"/>
        <w:jc w:val="center"/>
        <w:rPr>
          <w:rFonts w:asciiTheme="majorBidi" w:hAnsiTheme="majorBidi" w:cstheme="majorBidi"/>
          <w:sz w:val="21"/>
          <w:szCs w:val="21"/>
        </w:rPr>
      </w:pPr>
    </w:p>
    <w:p w14:paraId="08FC8EB3" w14:textId="7419CC13" w:rsidR="00D9477D" w:rsidRPr="00B45606" w:rsidRDefault="00211E26" w:rsidP="00F12C9F">
      <w:pPr>
        <w:pStyle w:val="Heading2"/>
      </w:pPr>
      <w:r>
        <w:t>SUMMARY AND CONCLUSION</w:t>
      </w:r>
    </w:p>
    <w:p w14:paraId="15196345" w14:textId="55F8F8B6" w:rsidR="00D9477D" w:rsidRDefault="00270A11" w:rsidP="00211E26">
      <w:pPr>
        <w:pStyle w:val="StandardFL"/>
        <w:ind w:left="180" w:hanging="180"/>
      </w:pPr>
      <w:r>
        <w:t>•</w:t>
      </w:r>
      <w:r>
        <w:tab/>
      </w:r>
      <w:r w:rsidR="00D9477D">
        <w:t>T</w:t>
      </w:r>
      <w:r w:rsidR="00EB084E" w:rsidRPr="009F1448">
        <w:t>h</w:t>
      </w:r>
      <w:r w:rsidR="002034AE" w:rsidRPr="009F1448">
        <w:t>is</w:t>
      </w:r>
      <w:r w:rsidR="00EB084E" w:rsidRPr="009F1448">
        <w:t xml:space="preserve"> rendition </w:t>
      </w:r>
      <w:r w:rsidR="009F1448" w:rsidRPr="009F1448">
        <w:t>is based upon</w:t>
      </w:r>
      <w:r w:rsidR="00944EB3" w:rsidRPr="009F1448">
        <w:t xml:space="preserve"> </w:t>
      </w:r>
      <w:r>
        <w:t xml:space="preserve">a </w:t>
      </w:r>
      <w:r w:rsidR="00944EB3" w:rsidRPr="009F1448">
        <w:t xml:space="preserve">principled </w:t>
      </w:r>
      <w:r>
        <w:t>analysis of</w:t>
      </w:r>
      <w:r w:rsidR="00944EB3" w:rsidRPr="009F1448">
        <w:t xml:space="preserve"> English idiom and its evolution</w:t>
      </w:r>
      <w:r w:rsidR="00D9477D">
        <w:t>.</w:t>
      </w:r>
    </w:p>
    <w:p w14:paraId="327B81BB" w14:textId="5CFF04B4" w:rsidR="00270A11" w:rsidRDefault="00270A11" w:rsidP="00211E26">
      <w:pPr>
        <w:pStyle w:val="StandardFL"/>
        <w:ind w:left="180" w:hanging="180"/>
      </w:pPr>
      <w:r>
        <w:t>•</w:t>
      </w:r>
      <w:r>
        <w:tab/>
      </w:r>
      <w:r w:rsidR="009F1448" w:rsidRPr="009F1448">
        <w:t xml:space="preserve">It </w:t>
      </w:r>
      <w:r w:rsidR="00CE6254" w:rsidRPr="009F1448">
        <w:t xml:space="preserve">thoughtfully </w:t>
      </w:r>
      <w:r w:rsidR="009F1448" w:rsidRPr="009F1448">
        <w:t>incorporates</w:t>
      </w:r>
      <w:r w:rsidR="00944EB3" w:rsidRPr="009F1448">
        <w:t xml:space="preserve"> original research into </w:t>
      </w:r>
      <w:r w:rsidR="002034AE" w:rsidRPr="009F1448">
        <w:t xml:space="preserve">how the biblical text’s ancient audience would have ascribed gender when hearing its words and </w:t>
      </w:r>
      <w:r w:rsidR="00CE6254">
        <w:t xml:space="preserve">while </w:t>
      </w:r>
      <w:r w:rsidR="002034AE" w:rsidRPr="009F1448">
        <w:t xml:space="preserve">resolving its </w:t>
      </w:r>
      <w:r w:rsidR="00782E0D">
        <w:t xml:space="preserve">personal </w:t>
      </w:r>
      <w:r w:rsidR="002034AE" w:rsidRPr="009F1448">
        <w:t>references.</w:t>
      </w:r>
      <w:r w:rsidR="00782E0D">
        <w:t xml:space="preserve"> </w:t>
      </w:r>
      <w:r>
        <w:t>In so doing, it attends to the pitfalls of translating figurative language (metonymy) from Hebrew to English</w:t>
      </w:r>
      <w:r w:rsidRPr="009F1448">
        <w:t xml:space="preserve">. </w:t>
      </w:r>
      <w:r>
        <w:t>It also takes conventions of communication into account.</w:t>
      </w:r>
    </w:p>
    <w:p w14:paraId="7ACA0C72" w14:textId="17135770" w:rsidR="00270A11" w:rsidRDefault="00270A11" w:rsidP="00211E26">
      <w:pPr>
        <w:pStyle w:val="StandardFL"/>
        <w:ind w:left="180" w:hanging="180"/>
      </w:pPr>
      <w:r>
        <w:t>•</w:t>
      </w:r>
      <w:r>
        <w:tab/>
        <w:t>It reconsider</w:t>
      </w:r>
      <w:r w:rsidR="00BA0538">
        <w:t>s</w:t>
      </w:r>
      <w:r>
        <w:t xml:space="preserve"> how depictions of women are rendered, </w:t>
      </w:r>
      <w:r w:rsidR="008238F0">
        <w:t xml:space="preserve">so as </w:t>
      </w:r>
      <w:r>
        <w:t>to avoid introducing sexism in the act of translation.</w:t>
      </w:r>
    </w:p>
    <w:p w14:paraId="1181A83C" w14:textId="6FAEED20" w:rsidR="00D9477D" w:rsidRDefault="00270A11" w:rsidP="00211E26">
      <w:pPr>
        <w:pStyle w:val="StandardFL"/>
        <w:ind w:left="180" w:hanging="180"/>
      </w:pPr>
      <w:r>
        <w:t>•</w:t>
      </w:r>
      <w:r>
        <w:tab/>
      </w:r>
      <w:r w:rsidR="00782E0D">
        <w:t>It add</w:t>
      </w:r>
      <w:r w:rsidR="00BA0538">
        <w:t>s</w:t>
      </w:r>
      <w:r w:rsidR="00782E0D">
        <w:t xml:space="preserve"> several types of footnotes that are designed to avoid common pitfalls in construing gender.</w:t>
      </w:r>
      <w:r w:rsidR="002034AE" w:rsidRPr="009F1448">
        <w:t xml:space="preserve"> </w:t>
      </w:r>
    </w:p>
    <w:p w14:paraId="0D3CDF07" w14:textId="2468859B" w:rsidR="00270A11" w:rsidRDefault="00270A11" w:rsidP="00211E26">
      <w:pPr>
        <w:pStyle w:val="StandardFL"/>
        <w:ind w:left="180" w:hanging="180"/>
      </w:pPr>
      <w:r>
        <w:t>•</w:t>
      </w:r>
      <w:r>
        <w:tab/>
        <w:t xml:space="preserve">A case is made that the Hebrew Bible presented its Deity in a manner that </w:t>
      </w:r>
      <w:r w:rsidRPr="002D7150">
        <w:t>resist</w:t>
      </w:r>
      <w:r>
        <w:t>s</w:t>
      </w:r>
      <w:r w:rsidRPr="002D7150">
        <w:t xml:space="preserve"> </w:t>
      </w:r>
      <w:r>
        <w:t xml:space="preserve">a </w:t>
      </w:r>
      <w:r w:rsidRPr="002D7150">
        <w:t xml:space="preserve">gender categorization, </w:t>
      </w:r>
      <w:r>
        <w:t xml:space="preserve">and that this </w:t>
      </w:r>
      <w:r w:rsidR="00E83528">
        <w:t xml:space="preserve">was </w:t>
      </w:r>
      <w:r>
        <w:t>precisely the point</w:t>
      </w:r>
      <w:r w:rsidRPr="002D7150">
        <w:t>.</w:t>
      </w:r>
      <w:r>
        <w:t xml:space="preserve"> </w:t>
      </w:r>
    </w:p>
    <w:p w14:paraId="4D505630" w14:textId="5CCFE6FB" w:rsidR="00270A11" w:rsidRDefault="00270A11" w:rsidP="00211E26">
      <w:pPr>
        <w:pStyle w:val="StandardFL"/>
        <w:ind w:left="180" w:hanging="180"/>
      </w:pPr>
      <w:r>
        <w:t>•</w:t>
      </w:r>
      <w:r>
        <w:tab/>
      </w:r>
      <w:r w:rsidR="00B34AD3">
        <w:t>Although the gender implications of some of the Bible’s references to persons are uncertain, nearly all of the renderings seem to be accurate with a high degree of confidence.</w:t>
      </w:r>
      <w:r w:rsidR="00782E0D">
        <w:t xml:space="preserve"> </w:t>
      </w:r>
    </w:p>
    <w:p w14:paraId="00798609" w14:textId="7595426B" w:rsidR="00D9477D" w:rsidRPr="00D9477D" w:rsidRDefault="00D9477D" w:rsidP="00211E26">
      <w:pPr>
        <w:pStyle w:val="Standard1218justified"/>
      </w:pPr>
      <w:r w:rsidRPr="009F1448">
        <w:t xml:space="preserve">In conclusion, </w:t>
      </w:r>
      <w:r>
        <w:t>this</w:t>
      </w:r>
      <w:r w:rsidRPr="009F1448">
        <w:t xml:space="preserve"> translation is designed to afford its readers with a</w:t>
      </w:r>
      <w:r w:rsidR="00270A11">
        <w:t>n accurate</w:t>
      </w:r>
      <w:r w:rsidRPr="009F1448">
        <w:t xml:space="preserve"> picture </w:t>
      </w:r>
      <w:r>
        <w:t>of gender</w:t>
      </w:r>
      <w:r w:rsidR="00270A11">
        <w:t xml:space="preserve">—that is, </w:t>
      </w:r>
      <w:r>
        <w:t xml:space="preserve">as the ancient audience would have perceived </w:t>
      </w:r>
      <w:r w:rsidR="00494A4F">
        <w:t>gender in its</w:t>
      </w:r>
      <w:r>
        <w:t xml:space="preserve"> human references, and may well have perceived it with regard to </w:t>
      </w:r>
      <w:r>
        <w:rPr>
          <w:smallCaps/>
        </w:rPr>
        <w:t>God</w:t>
      </w:r>
      <w:r>
        <w:t>.</w:t>
      </w:r>
    </w:p>
    <w:p w14:paraId="5D87A229" w14:textId="77777777" w:rsidR="002034AE" w:rsidRPr="002034AE" w:rsidRDefault="002034AE" w:rsidP="00211E26">
      <w:pPr>
        <w:pStyle w:val="Standard1218justified"/>
      </w:pPr>
    </w:p>
    <w:p w14:paraId="586DA0AD" w14:textId="2D2EB4F4" w:rsidR="00865228" w:rsidRPr="00B45606" w:rsidRDefault="008F13C2" w:rsidP="00865228">
      <w:pPr>
        <w:pStyle w:val="Heading2"/>
      </w:pPr>
      <w:r w:rsidRPr="00B45606">
        <w:t>For Further Reading</w:t>
      </w:r>
    </w:p>
    <w:p w14:paraId="28513634" w14:textId="675F242A" w:rsidR="005B464D" w:rsidRPr="006A7ACD" w:rsidRDefault="0078175B" w:rsidP="005B464D">
      <w:pPr>
        <w:pStyle w:val="Standard1218justified"/>
        <w:ind w:left="360" w:hanging="360"/>
        <w:rPr>
          <w:sz w:val="22"/>
          <w:szCs w:val="22"/>
        </w:rPr>
      </w:pPr>
      <w:r w:rsidRPr="006A7ACD">
        <w:rPr>
          <w:sz w:val="22"/>
          <w:szCs w:val="22"/>
        </w:rPr>
        <w:t>Stein, David E. S.</w:t>
      </w:r>
      <w:r w:rsidR="005B464D" w:rsidRPr="006A7ACD">
        <w:rPr>
          <w:sz w:val="22"/>
          <w:szCs w:val="22"/>
        </w:rPr>
        <w:t xml:space="preserve"> “Angels by Another Name: How ‘Agency Metonymy’ Pre</w:t>
      </w:r>
      <w:r w:rsidR="005B464D" w:rsidRPr="006A7ACD">
        <w:rPr>
          <w:sz w:val="22"/>
          <w:szCs w:val="22"/>
        </w:rPr>
        <w:softHyphen/>
        <w:t>cludes God</w:t>
      </w:r>
      <w:r w:rsidR="005B464D" w:rsidRPr="00B45606">
        <w:rPr>
          <w:sz w:val="22"/>
          <w:szCs w:val="22"/>
        </w:rPr>
        <w:t>’s E</w:t>
      </w:r>
      <w:r w:rsidR="005B464D" w:rsidRPr="006A7ACD">
        <w:rPr>
          <w:sz w:val="22"/>
          <w:szCs w:val="22"/>
        </w:rPr>
        <w:t xml:space="preserve">mbodiment.” In </w:t>
      </w:r>
      <w:r w:rsidR="005B464D" w:rsidRPr="006A7ACD">
        <w:rPr>
          <w:i/>
          <w:sz w:val="22"/>
          <w:szCs w:val="22"/>
        </w:rPr>
        <w:t>Topics in Theology of the Hebrew Scriptures</w:t>
      </w:r>
      <w:r w:rsidR="005B464D" w:rsidRPr="006A7ACD">
        <w:rPr>
          <w:sz w:val="22"/>
          <w:szCs w:val="22"/>
        </w:rPr>
        <w:t>, Vol. 2</w:t>
      </w:r>
      <w:r w:rsidR="005B464D">
        <w:rPr>
          <w:sz w:val="22"/>
          <w:szCs w:val="22"/>
        </w:rPr>
        <w:t>, e</w:t>
      </w:r>
      <w:r w:rsidR="005B464D" w:rsidRPr="006A7ACD">
        <w:rPr>
          <w:sz w:val="22"/>
          <w:szCs w:val="22"/>
        </w:rPr>
        <w:t xml:space="preserve">dited by </w:t>
      </w:r>
      <w:proofErr w:type="spellStart"/>
      <w:r w:rsidR="005B464D" w:rsidRPr="006A7ACD">
        <w:rPr>
          <w:sz w:val="22"/>
          <w:szCs w:val="22"/>
        </w:rPr>
        <w:t>Soojung</w:t>
      </w:r>
      <w:proofErr w:type="spellEnd"/>
      <w:r w:rsidR="005B464D" w:rsidRPr="006A7ACD">
        <w:rPr>
          <w:sz w:val="22"/>
          <w:szCs w:val="22"/>
        </w:rPr>
        <w:t xml:space="preserve"> Kim and David Frankel. Resources for Biblical Study.</w:t>
      </w:r>
      <w:r w:rsidR="005B464D">
        <w:rPr>
          <w:sz w:val="22"/>
          <w:szCs w:val="22"/>
        </w:rPr>
        <w:t xml:space="preserve"> </w:t>
      </w:r>
      <w:r w:rsidR="005B464D" w:rsidRPr="006A7ACD">
        <w:rPr>
          <w:sz w:val="22"/>
          <w:szCs w:val="22"/>
        </w:rPr>
        <w:t>Atlanta: SBL Press</w:t>
      </w:r>
      <w:r w:rsidR="005B464D">
        <w:rPr>
          <w:sz w:val="22"/>
          <w:szCs w:val="22"/>
        </w:rPr>
        <w:t xml:space="preserve">, </w:t>
      </w:r>
      <w:r w:rsidR="005B464D" w:rsidRPr="006A7ACD">
        <w:rPr>
          <w:sz w:val="22"/>
          <w:szCs w:val="22"/>
        </w:rPr>
        <w:t>forthcoming. Pre</w:t>
      </w:r>
      <w:r w:rsidR="005B464D" w:rsidRPr="006A7ACD">
        <w:rPr>
          <w:sz w:val="22"/>
          <w:szCs w:val="22"/>
        </w:rPr>
        <w:softHyphen/>
        <w:t>publi</w:t>
      </w:r>
      <w:r w:rsidR="005B464D" w:rsidRPr="006A7ACD">
        <w:rPr>
          <w:sz w:val="22"/>
          <w:szCs w:val="22"/>
        </w:rPr>
        <w:softHyphen/>
        <w:t xml:space="preserve">cation version: </w:t>
      </w:r>
      <w:r w:rsidR="005B464D" w:rsidRPr="006A7ACD">
        <w:rPr>
          <w:color w:val="0000FF"/>
          <w:sz w:val="22"/>
          <w:szCs w:val="22"/>
        </w:rPr>
        <w:t>purl.org/stein/angels</w:t>
      </w:r>
      <w:r w:rsidR="005B464D" w:rsidRPr="006A7ACD">
        <w:rPr>
          <w:sz w:val="22"/>
          <w:szCs w:val="22"/>
        </w:rPr>
        <w:t>.</w:t>
      </w:r>
    </w:p>
    <w:p w14:paraId="19C0A21B" w14:textId="77777777"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“Cognitive Factors as a Key to Plain-Sense Biblical Interpretation: Resolv</w:t>
      </w:r>
      <w:r w:rsidRPr="006A7ACD">
        <w:rPr>
          <w:sz w:val="22"/>
          <w:szCs w:val="22"/>
        </w:rPr>
        <w:softHyphen/>
        <w:t xml:space="preserve">ing Cruxes in Gen 18:1–15 and 32:23–33.” </w:t>
      </w:r>
      <w:r w:rsidRPr="006A7ACD">
        <w:rPr>
          <w:i/>
          <w:iCs/>
          <w:sz w:val="22"/>
          <w:szCs w:val="22"/>
        </w:rPr>
        <w:t>Open Theology</w:t>
      </w:r>
      <w:r w:rsidRPr="006A7ACD">
        <w:rPr>
          <w:sz w:val="22"/>
          <w:szCs w:val="22"/>
        </w:rPr>
        <w:t xml:space="preserve"> 4</w:t>
      </w:r>
      <w:r>
        <w:rPr>
          <w:sz w:val="22"/>
          <w:szCs w:val="22"/>
        </w:rPr>
        <w:t xml:space="preserve"> (</w:t>
      </w:r>
      <w:r w:rsidRPr="006A7ACD">
        <w:rPr>
          <w:sz w:val="22"/>
          <w:szCs w:val="22"/>
        </w:rPr>
        <w:t>2018</w:t>
      </w:r>
      <w:r>
        <w:rPr>
          <w:sz w:val="22"/>
          <w:szCs w:val="22"/>
        </w:rPr>
        <w:t>)</w:t>
      </w:r>
      <w:r w:rsidRPr="006A7ACD">
        <w:rPr>
          <w:sz w:val="22"/>
          <w:szCs w:val="22"/>
        </w:rPr>
        <w:t>, 545–89</w:t>
      </w:r>
      <w:r>
        <w:rPr>
          <w:sz w:val="22"/>
          <w:szCs w:val="22"/>
        </w:rPr>
        <w:t>,</w:t>
      </w:r>
      <w:r w:rsidRPr="006A7ACD">
        <w:rPr>
          <w:sz w:val="22"/>
          <w:szCs w:val="22"/>
        </w:rPr>
        <w:t xml:space="preserve"> </w:t>
      </w:r>
      <w:r w:rsidRPr="006A7ACD">
        <w:rPr>
          <w:color w:val="0000FF"/>
          <w:sz w:val="22"/>
          <w:szCs w:val="22"/>
        </w:rPr>
        <w:t>doi:10.1515/opth-2018-0043</w:t>
      </w:r>
      <w:r w:rsidRPr="006A7ACD">
        <w:rPr>
          <w:sz w:val="22"/>
          <w:szCs w:val="22"/>
        </w:rPr>
        <w:t>.</w:t>
      </w:r>
    </w:p>
    <w:p w14:paraId="1F7C9045" w14:textId="3063F833" w:rsidR="0078175B" w:rsidRPr="006A7ACD" w:rsidRDefault="0078175B" w:rsidP="0078175B">
      <w:pPr>
        <w:pStyle w:val="Standard1218justified"/>
        <w:ind w:left="360" w:hanging="360"/>
        <w:rPr>
          <w:sz w:val="22"/>
          <w:szCs w:val="22"/>
        </w:rPr>
      </w:pPr>
      <w:r w:rsidRPr="006A7ACD">
        <w:rPr>
          <w:sz w:val="22"/>
          <w:szCs w:val="22"/>
        </w:rPr>
        <w:t>———</w:t>
      </w:r>
      <w:r w:rsidR="00D73B5E">
        <w:rPr>
          <w:sz w:val="22"/>
          <w:szCs w:val="22"/>
        </w:rPr>
        <w:t>.</w:t>
      </w:r>
      <w:r w:rsidRPr="006A7ACD">
        <w:rPr>
          <w:sz w:val="22"/>
          <w:szCs w:val="22"/>
        </w:rPr>
        <w:t xml:space="preserve"> “Diction</w:t>
      </w:r>
      <w:r w:rsidRPr="006A7ACD">
        <w:rPr>
          <w:sz w:val="22"/>
          <w:szCs w:val="22"/>
        </w:rPr>
        <w:softHyphen/>
        <w:t xml:space="preserve">ary of Gender in the Torah.” </w:t>
      </w:r>
      <w:r w:rsidR="00446CD8" w:rsidRPr="006A7ACD">
        <w:rPr>
          <w:sz w:val="22"/>
          <w:szCs w:val="22"/>
        </w:rPr>
        <w:t xml:space="preserve">In </w:t>
      </w:r>
      <w:r w:rsidR="00446CD8" w:rsidRPr="006A7ACD">
        <w:rPr>
          <w:i/>
          <w:iCs/>
          <w:sz w:val="22"/>
          <w:szCs w:val="22"/>
        </w:rPr>
        <w:t>The Con</w:t>
      </w:r>
      <w:r w:rsidR="00446CD8" w:rsidRPr="006A7ACD">
        <w:rPr>
          <w:i/>
          <w:iCs/>
          <w:sz w:val="22"/>
          <w:szCs w:val="22"/>
        </w:rPr>
        <w:softHyphen/>
        <w:t>tempo</w:t>
      </w:r>
      <w:r w:rsidR="00446CD8" w:rsidRPr="006A7ACD">
        <w:rPr>
          <w:i/>
          <w:iCs/>
          <w:sz w:val="22"/>
          <w:szCs w:val="22"/>
        </w:rPr>
        <w:softHyphen/>
        <w:t>rary Torah</w:t>
      </w:r>
      <w:r w:rsidR="00722E2F" w:rsidRPr="006A7ACD">
        <w:rPr>
          <w:i/>
          <w:iCs/>
          <w:sz w:val="22"/>
          <w:szCs w:val="22"/>
        </w:rPr>
        <w:t>: A Gender-Sensitive Adaptation of the JPS Translation</w:t>
      </w:r>
      <w:r w:rsidR="00722E2F">
        <w:rPr>
          <w:sz w:val="22"/>
          <w:szCs w:val="22"/>
        </w:rPr>
        <w:t xml:space="preserve">, edited by </w:t>
      </w:r>
      <w:r w:rsidR="00722E2F" w:rsidRPr="006A7ACD">
        <w:rPr>
          <w:sz w:val="22"/>
          <w:szCs w:val="22"/>
        </w:rPr>
        <w:t>David E. S.</w:t>
      </w:r>
      <w:r w:rsidR="00722E2F">
        <w:rPr>
          <w:sz w:val="22"/>
          <w:szCs w:val="22"/>
        </w:rPr>
        <w:t xml:space="preserve"> </w:t>
      </w:r>
      <w:r w:rsidR="00722E2F" w:rsidRPr="006A7ACD">
        <w:rPr>
          <w:sz w:val="22"/>
          <w:szCs w:val="22"/>
        </w:rPr>
        <w:t>Stein</w:t>
      </w:r>
      <w:r w:rsidR="00722E2F">
        <w:rPr>
          <w:sz w:val="22"/>
          <w:szCs w:val="22"/>
        </w:rPr>
        <w:t>,</w:t>
      </w:r>
      <w:r w:rsidR="00722E2F" w:rsidRPr="006A7ACD">
        <w:rPr>
          <w:sz w:val="22"/>
          <w:szCs w:val="22"/>
        </w:rPr>
        <w:t xml:space="preserve"> </w:t>
      </w:r>
      <w:r w:rsidR="00722E2F" w:rsidRPr="006A7ACD">
        <w:rPr>
          <w:iCs/>
          <w:sz w:val="22"/>
          <w:szCs w:val="22"/>
        </w:rPr>
        <w:t>393–412</w:t>
      </w:r>
      <w:r w:rsidR="00722E2F" w:rsidRPr="006A7ACD">
        <w:rPr>
          <w:sz w:val="22"/>
          <w:szCs w:val="22"/>
        </w:rPr>
        <w:t>. Philadel</w:t>
      </w:r>
      <w:r w:rsidR="00722E2F" w:rsidRPr="006A7ACD">
        <w:rPr>
          <w:sz w:val="22"/>
          <w:szCs w:val="22"/>
        </w:rPr>
        <w:softHyphen/>
        <w:t xml:space="preserve">phia: </w:t>
      </w:r>
      <w:r w:rsidR="00D73B5E">
        <w:rPr>
          <w:sz w:val="22"/>
          <w:szCs w:val="22"/>
        </w:rPr>
        <w:t xml:space="preserve">The </w:t>
      </w:r>
      <w:r w:rsidR="00722E2F" w:rsidRPr="006A7ACD">
        <w:rPr>
          <w:sz w:val="22"/>
          <w:szCs w:val="22"/>
        </w:rPr>
        <w:t>Jewish Publication Society</w:t>
      </w:r>
      <w:r w:rsidR="00722E2F">
        <w:rPr>
          <w:sz w:val="22"/>
          <w:szCs w:val="22"/>
        </w:rPr>
        <w:t xml:space="preserve">, </w:t>
      </w:r>
      <w:r w:rsidR="00722E2F" w:rsidRPr="006A7ACD">
        <w:rPr>
          <w:sz w:val="22"/>
          <w:szCs w:val="22"/>
        </w:rPr>
        <w:t>2006</w:t>
      </w:r>
      <w:r w:rsidR="00722E2F">
        <w:rPr>
          <w:iCs/>
          <w:sz w:val="22"/>
          <w:szCs w:val="22"/>
        </w:rPr>
        <w:t>.</w:t>
      </w:r>
      <w:r w:rsidR="00722E2F">
        <w:rPr>
          <w:sz w:val="22"/>
          <w:szCs w:val="22"/>
        </w:rPr>
        <w:t xml:space="preserve"> </w:t>
      </w:r>
      <w:r w:rsidR="00456114" w:rsidRPr="006A7ACD">
        <w:rPr>
          <w:color w:val="0000FF"/>
          <w:sz w:val="22"/>
          <w:szCs w:val="22"/>
        </w:rPr>
        <w:t>purl.org/stein/</w:t>
      </w:r>
      <w:proofErr w:type="spellStart"/>
      <w:r w:rsidR="00456114">
        <w:rPr>
          <w:color w:val="0000FF"/>
          <w:sz w:val="22"/>
          <w:szCs w:val="22"/>
        </w:rPr>
        <w:t>dict</w:t>
      </w:r>
      <w:proofErr w:type="spellEnd"/>
      <w:r w:rsidR="00456114" w:rsidRPr="006A7ACD">
        <w:rPr>
          <w:color w:val="0000FF"/>
          <w:sz w:val="22"/>
          <w:szCs w:val="22"/>
        </w:rPr>
        <w:t>-</w:t>
      </w:r>
      <w:r w:rsidR="00456114">
        <w:rPr>
          <w:color w:val="0000FF"/>
          <w:sz w:val="22"/>
          <w:szCs w:val="22"/>
        </w:rPr>
        <w:t>gender</w:t>
      </w:r>
      <w:r w:rsidR="00456114" w:rsidRPr="006A7ACD">
        <w:rPr>
          <w:sz w:val="22"/>
          <w:szCs w:val="22"/>
        </w:rPr>
        <w:t>.</w:t>
      </w:r>
    </w:p>
    <w:p w14:paraId="75511641" w14:textId="77777777"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“Gender Representation in Biblical Hebrew.” In </w:t>
      </w:r>
      <w:r w:rsidRPr="006A7ACD">
        <w:rPr>
          <w:i/>
          <w:sz w:val="22"/>
          <w:szCs w:val="22"/>
        </w:rPr>
        <w:t>Encyclopedia</w:t>
      </w:r>
      <w:r w:rsidRPr="006A7ACD">
        <w:rPr>
          <w:i/>
          <w:iCs/>
          <w:sz w:val="22"/>
          <w:szCs w:val="22"/>
        </w:rPr>
        <w:t xml:space="preserve"> of Hebrew Lan</w:t>
      </w:r>
      <w:r w:rsidRPr="006A7ACD">
        <w:rPr>
          <w:i/>
          <w:iCs/>
          <w:sz w:val="22"/>
          <w:szCs w:val="22"/>
        </w:rPr>
        <w:softHyphen/>
        <w:t>guage and Linguistics</w:t>
      </w:r>
      <w:r>
        <w:rPr>
          <w:sz w:val="22"/>
          <w:szCs w:val="22"/>
        </w:rPr>
        <w:t>, e</w:t>
      </w:r>
      <w:r w:rsidRPr="006A7ACD">
        <w:rPr>
          <w:sz w:val="22"/>
          <w:szCs w:val="22"/>
        </w:rPr>
        <w:t>dited by Geoffrey Khan</w:t>
      </w:r>
      <w:r>
        <w:rPr>
          <w:sz w:val="22"/>
          <w:szCs w:val="22"/>
        </w:rPr>
        <w:t xml:space="preserve">, </w:t>
      </w:r>
      <w:r w:rsidRPr="006A7ACD">
        <w:rPr>
          <w:sz w:val="22"/>
          <w:szCs w:val="22"/>
        </w:rPr>
        <w:t>2:20–22. Leiden: Brill</w:t>
      </w:r>
      <w:r>
        <w:rPr>
          <w:sz w:val="22"/>
          <w:szCs w:val="22"/>
        </w:rPr>
        <w:t xml:space="preserve">, </w:t>
      </w:r>
      <w:r w:rsidRPr="006A7ACD">
        <w:rPr>
          <w:sz w:val="22"/>
          <w:szCs w:val="22"/>
        </w:rPr>
        <w:t xml:space="preserve">2013. </w:t>
      </w:r>
      <w:r w:rsidRPr="006A7ACD">
        <w:rPr>
          <w:color w:val="0000FF"/>
          <w:sz w:val="22"/>
          <w:szCs w:val="22"/>
        </w:rPr>
        <w:t>purl.org/stein/</w:t>
      </w:r>
      <w:proofErr w:type="spellStart"/>
      <w:r w:rsidRPr="006A7ACD">
        <w:rPr>
          <w:color w:val="0000FF"/>
          <w:sz w:val="22"/>
          <w:szCs w:val="22"/>
        </w:rPr>
        <w:t>ehll</w:t>
      </w:r>
      <w:proofErr w:type="spellEnd"/>
      <w:r w:rsidRPr="006A7ACD">
        <w:rPr>
          <w:color w:val="0000FF"/>
          <w:sz w:val="22"/>
          <w:szCs w:val="22"/>
        </w:rPr>
        <w:t>-gender</w:t>
      </w:r>
      <w:r w:rsidRPr="006A7ACD">
        <w:rPr>
          <w:sz w:val="22"/>
          <w:szCs w:val="22"/>
        </w:rPr>
        <w:t>.</w:t>
      </w:r>
    </w:p>
    <w:p w14:paraId="2103E91A" w14:textId="77777777"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“The Grammar of Social Gender in Biblical Hebrew.” </w:t>
      </w:r>
      <w:r w:rsidRPr="006A7ACD">
        <w:rPr>
          <w:i/>
          <w:iCs/>
          <w:sz w:val="22"/>
          <w:szCs w:val="22"/>
        </w:rPr>
        <w:t>Hebrew Studies</w:t>
      </w:r>
      <w:r w:rsidRPr="006A7ACD">
        <w:rPr>
          <w:sz w:val="22"/>
          <w:szCs w:val="22"/>
        </w:rPr>
        <w:t xml:space="preserve"> 49</w:t>
      </w:r>
      <w:r>
        <w:rPr>
          <w:sz w:val="22"/>
          <w:szCs w:val="22"/>
        </w:rPr>
        <w:t xml:space="preserve"> </w:t>
      </w:r>
      <w:r w:rsidRPr="006A7ACD">
        <w:rPr>
          <w:sz w:val="22"/>
          <w:szCs w:val="22"/>
        </w:rPr>
        <w:t>(2008)</w:t>
      </w:r>
      <w:r>
        <w:rPr>
          <w:sz w:val="22"/>
          <w:szCs w:val="22"/>
        </w:rPr>
        <w:t>:</w:t>
      </w:r>
      <w:r w:rsidRPr="006A7ACD">
        <w:rPr>
          <w:sz w:val="22"/>
          <w:szCs w:val="22"/>
        </w:rPr>
        <w:t xml:space="preserve"> 7–26</w:t>
      </w:r>
      <w:r>
        <w:rPr>
          <w:sz w:val="22"/>
          <w:szCs w:val="22"/>
        </w:rPr>
        <w:t>,</w:t>
      </w:r>
      <w:r w:rsidRPr="006A7ACD">
        <w:rPr>
          <w:sz w:val="22"/>
          <w:szCs w:val="22"/>
        </w:rPr>
        <w:t xml:space="preserve"> doi:10.1353/hbr.2008.0014. </w:t>
      </w:r>
      <w:r w:rsidRPr="006A7ACD">
        <w:rPr>
          <w:color w:val="0000FF"/>
          <w:sz w:val="22"/>
          <w:szCs w:val="22"/>
        </w:rPr>
        <w:t>purl.org/scholar/HS-2008</w:t>
      </w:r>
      <w:r w:rsidRPr="006A7ACD">
        <w:rPr>
          <w:sz w:val="22"/>
          <w:szCs w:val="22"/>
        </w:rPr>
        <w:t>.</w:t>
      </w:r>
    </w:p>
    <w:p w14:paraId="47F34709" w14:textId="77777777"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“The Impact of Discourse Functions on Rendering the Biblical Hebrew Noun </w:t>
      </w:r>
      <w:r w:rsidRPr="00EB3C9A">
        <w:rPr>
          <w:rFonts w:hAnsi="SBL BibLit" w:cs="SBL BibLit"/>
          <w:sz w:val="22"/>
          <w:szCs w:val="22"/>
          <w:rtl/>
          <w:lang w:bidi="he-IL"/>
        </w:rPr>
        <w:t>איש</w:t>
      </w:r>
      <w:r w:rsidRPr="006A7ACD">
        <w:rPr>
          <w:sz w:val="22"/>
          <w:szCs w:val="22"/>
        </w:rPr>
        <w:t xml:space="preserve"> in a Gender-Sensitive English Translation.” In: </w:t>
      </w:r>
      <w:r w:rsidRPr="006A7ACD">
        <w:rPr>
          <w:i/>
          <w:iCs/>
          <w:sz w:val="22"/>
          <w:szCs w:val="22"/>
        </w:rPr>
        <w:t>[Re]Gained in Translation: Bibles, Theologies, and the Politics of Empowerment</w:t>
      </w:r>
      <w:r w:rsidRPr="006A7ACD">
        <w:rPr>
          <w:sz w:val="22"/>
          <w:szCs w:val="22"/>
        </w:rPr>
        <w:t>, Vol. I</w:t>
      </w:r>
      <w:r>
        <w:rPr>
          <w:sz w:val="22"/>
          <w:szCs w:val="22"/>
        </w:rPr>
        <w:t>, e</w:t>
      </w:r>
      <w:r w:rsidRPr="006A7ACD">
        <w:rPr>
          <w:sz w:val="22"/>
          <w:szCs w:val="22"/>
        </w:rPr>
        <w:t xml:space="preserve">dited by Sabine </w:t>
      </w:r>
      <w:proofErr w:type="spellStart"/>
      <w:r w:rsidRPr="006A7ACD">
        <w:rPr>
          <w:sz w:val="22"/>
          <w:szCs w:val="22"/>
        </w:rPr>
        <w:t>Dievenkorn</w:t>
      </w:r>
      <w:proofErr w:type="spellEnd"/>
      <w:r w:rsidRPr="006A7ACD">
        <w:rPr>
          <w:sz w:val="22"/>
          <w:szCs w:val="22"/>
        </w:rPr>
        <w:t xml:space="preserve"> and </w:t>
      </w:r>
      <w:proofErr w:type="spellStart"/>
      <w:r w:rsidRPr="006A7ACD">
        <w:rPr>
          <w:sz w:val="22"/>
          <w:szCs w:val="22"/>
        </w:rPr>
        <w:t>Shaul</w:t>
      </w:r>
      <w:proofErr w:type="spellEnd"/>
      <w:r w:rsidRPr="006A7ACD">
        <w:rPr>
          <w:sz w:val="22"/>
          <w:szCs w:val="22"/>
        </w:rPr>
        <w:t xml:space="preserve"> Levin, 283–310. </w:t>
      </w:r>
      <w:proofErr w:type="spellStart"/>
      <w:r w:rsidRPr="00DA15A0">
        <w:rPr>
          <w:sz w:val="22"/>
          <w:szCs w:val="22"/>
        </w:rPr>
        <w:t>Arbeiten</w:t>
      </w:r>
      <w:proofErr w:type="spellEnd"/>
      <w:r w:rsidRPr="00DA15A0">
        <w:rPr>
          <w:sz w:val="22"/>
          <w:szCs w:val="22"/>
        </w:rPr>
        <w:t xml:space="preserve"> </w:t>
      </w:r>
      <w:proofErr w:type="spellStart"/>
      <w:r w:rsidRPr="00DA15A0">
        <w:rPr>
          <w:sz w:val="22"/>
          <w:szCs w:val="22"/>
        </w:rPr>
        <w:t>zur</w:t>
      </w:r>
      <w:proofErr w:type="spellEnd"/>
      <w:r w:rsidRPr="00DA15A0">
        <w:rPr>
          <w:sz w:val="22"/>
          <w:szCs w:val="22"/>
        </w:rPr>
        <w:t xml:space="preserve"> </w:t>
      </w:r>
      <w:proofErr w:type="spellStart"/>
      <w:r w:rsidRPr="00DA15A0">
        <w:rPr>
          <w:sz w:val="22"/>
          <w:szCs w:val="22"/>
        </w:rPr>
        <w:t>Theorie</w:t>
      </w:r>
      <w:proofErr w:type="spellEnd"/>
      <w:r w:rsidRPr="00DA15A0">
        <w:rPr>
          <w:sz w:val="22"/>
          <w:szCs w:val="22"/>
        </w:rPr>
        <w:t xml:space="preserve"> und Praxis des </w:t>
      </w:r>
      <w:proofErr w:type="spellStart"/>
      <w:r w:rsidRPr="00DA15A0">
        <w:rPr>
          <w:sz w:val="22"/>
          <w:szCs w:val="22"/>
        </w:rPr>
        <w:t>Übersetzens</w:t>
      </w:r>
      <w:proofErr w:type="spellEnd"/>
      <w:r w:rsidRPr="00DA15A0">
        <w:rPr>
          <w:sz w:val="22"/>
          <w:szCs w:val="22"/>
        </w:rPr>
        <w:t xml:space="preserve"> und </w:t>
      </w:r>
      <w:proofErr w:type="spellStart"/>
      <w:r w:rsidRPr="00DA15A0">
        <w:rPr>
          <w:sz w:val="22"/>
          <w:szCs w:val="22"/>
        </w:rPr>
        <w:t>Dolmetschens</w:t>
      </w:r>
      <w:proofErr w:type="spellEnd"/>
      <w:r>
        <w:rPr>
          <w:sz w:val="22"/>
          <w:szCs w:val="22"/>
        </w:rPr>
        <w:t xml:space="preserve"> 133. </w:t>
      </w:r>
      <w:r w:rsidRPr="006A7ACD">
        <w:rPr>
          <w:sz w:val="22"/>
          <w:szCs w:val="22"/>
        </w:rPr>
        <w:t xml:space="preserve">Berlin: Frank &amp; </w:t>
      </w:r>
      <w:proofErr w:type="spellStart"/>
      <w:r w:rsidRPr="006A7ACD">
        <w:rPr>
          <w:sz w:val="22"/>
          <w:szCs w:val="22"/>
        </w:rPr>
        <w:t>Timme</w:t>
      </w:r>
      <w:proofErr w:type="spellEnd"/>
      <w:r>
        <w:rPr>
          <w:sz w:val="22"/>
          <w:szCs w:val="22"/>
        </w:rPr>
        <w:t xml:space="preserve">, </w:t>
      </w:r>
      <w:r w:rsidRPr="006A7ACD">
        <w:rPr>
          <w:sz w:val="22"/>
          <w:szCs w:val="22"/>
        </w:rPr>
        <w:t xml:space="preserve">2022. </w:t>
      </w:r>
      <w:r w:rsidRPr="003564A2">
        <w:rPr>
          <w:color w:val="0000FF"/>
          <w:sz w:val="22"/>
          <w:szCs w:val="22"/>
        </w:rPr>
        <w:t>purl.org/scholar/</w:t>
      </w:r>
      <w:proofErr w:type="spellStart"/>
      <w:r w:rsidRPr="003564A2">
        <w:rPr>
          <w:color w:val="0000FF"/>
          <w:sz w:val="22"/>
          <w:szCs w:val="22"/>
        </w:rPr>
        <w:t>cjps</w:t>
      </w:r>
      <w:proofErr w:type="spellEnd"/>
      <w:r w:rsidRPr="003564A2">
        <w:rPr>
          <w:color w:val="0000FF"/>
          <w:sz w:val="22"/>
          <w:szCs w:val="22"/>
        </w:rPr>
        <w:t>-discourse</w:t>
      </w:r>
      <w:r w:rsidRPr="006A7ACD">
        <w:rPr>
          <w:sz w:val="22"/>
          <w:szCs w:val="22"/>
        </w:rPr>
        <w:t>.</w:t>
      </w:r>
    </w:p>
    <w:p w14:paraId="2E1258AC" w14:textId="0A485620"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“The Matter of Gender in the JPS Torah Trans</w:t>
      </w:r>
      <w:r w:rsidRPr="006A7ACD">
        <w:rPr>
          <w:sz w:val="22"/>
          <w:szCs w:val="22"/>
        </w:rPr>
        <w:softHyphen/>
        <w:t>lation.” In</w:t>
      </w:r>
      <w:r w:rsidRPr="006A7ACD">
        <w:rPr>
          <w:i/>
          <w:sz w:val="22"/>
          <w:szCs w:val="22"/>
        </w:rPr>
        <w:t xml:space="preserve"> JPS Guide: The Jewish Bible</w:t>
      </w:r>
      <w:r>
        <w:rPr>
          <w:sz w:val="22"/>
          <w:szCs w:val="22"/>
        </w:rPr>
        <w:t>,</w:t>
      </w:r>
      <w:r w:rsidR="00561539">
        <w:rPr>
          <w:sz w:val="22"/>
          <w:szCs w:val="22"/>
        </w:rPr>
        <w:t xml:space="preserve"> </w:t>
      </w:r>
      <w:r w:rsidRPr="006A7ACD">
        <w:rPr>
          <w:sz w:val="22"/>
          <w:szCs w:val="22"/>
        </w:rPr>
        <w:t xml:space="preserve">51–55. Philadelphia: </w:t>
      </w:r>
      <w:r>
        <w:rPr>
          <w:sz w:val="22"/>
          <w:szCs w:val="22"/>
        </w:rPr>
        <w:t xml:space="preserve">The </w:t>
      </w:r>
      <w:r w:rsidRPr="006A7ACD">
        <w:rPr>
          <w:sz w:val="22"/>
          <w:szCs w:val="22"/>
        </w:rPr>
        <w:t>Jewish Publication Society</w:t>
      </w:r>
      <w:r>
        <w:rPr>
          <w:sz w:val="22"/>
          <w:szCs w:val="22"/>
        </w:rPr>
        <w:t xml:space="preserve">, </w:t>
      </w:r>
      <w:r w:rsidRPr="006A7ACD">
        <w:rPr>
          <w:sz w:val="22"/>
          <w:szCs w:val="22"/>
        </w:rPr>
        <w:t>2008</w:t>
      </w:r>
      <w:r>
        <w:rPr>
          <w:sz w:val="22"/>
          <w:szCs w:val="22"/>
        </w:rPr>
        <w:t>.</w:t>
      </w:r>
    </w:p>
    <w:p w14:paraId="22A7F3D5" w14:textId="3CE66DF3" w:rsidR="0078175B" w:rsidRPr="006A7ACD" w:rsidRDefault="0078175B" w:rsidP="0078175B">
      <w:pPr>
        <w:pStyle w:val="Standard1218justified"/>
        <w:ind w:left="360" w:hanging="360"/>
        <w:rPr>
          <w:sz w:val="22"/>
          <w:szCs w:val="22"/>
        </w:rPr>
      </w:pPr>
      <w:r w:rsidRPr="006A7ACD">
        <w:rPr>
          <w:sz w:val="22"/>
          <w:szCs w:val="22"/>
        </w:rPr>
        <w:t>———</w:t>
      </w:r>
      <w:r w:rsidR="00722E2F">
        <w:rPr>
          <w:sz w:val="22"/>
          <w:szCs w:val="22"/>
        </w:rPr>
        <w:t>.</w:t>
      </w:r>
      <w:r w:rsidRPr="006A7ACD">
        <w:rPr>
          <w:sz w:val="22"/>
          <w:szCs w:val="22"/>
        </w:rPr>
        <w:t xml:space="preserve"> “On Beyond Gender: Representation of God in the Torah and in Three Recent Renditions into English.” </w:t>
      </w:r>
      <w:proofErr w:type="spellStart"/>
      <w:r w:rsidRPr="006A7ACD">
        <w:rPr>
          <w:i/>
          <w:iCs/>
          <w:sz w:val="22"/>
          <w:szCs w:val="22"/>
        </w:rPr>
        <w:t>Nashim</w:t>
      </w:r>
      <w:proofErr w:type="spellEnd"/>
      <w:r w:rsidRPr="006A7ACD">
        <w:rPr>
          <w:i/>
          <w:iCs/>
          <w:sz w:val="22"/>
          <w:szCs w:val="22"/>
        </w:rPr>
        <w:t>: A Journal of Jewish Women</w:t>
      </w:r>
      <w:r w:rsidRPr="00B45606">
        <w:rPr>
          <w:i/>
          <w:iCs/>
          <w:sz w:val="22"/>
          <w:szCs w:val="22"/>
        </w:rPr>
        <w:t>’s S</w:t>
      </w:r>
      <w:r w:rsidRPr="006A7ACD">
        <w:rPr>
          <w:i/>
          <w:iCs/>
          <w:sz w:val="22"/>
          <w:szCs w:val="22"/>
        </w:rPr>
        <w:t>tudies &amp; Gender Issues</w:t>
      </w:r>
      <w:r w:rsidRPr="006A7ACD">
        <w:rPr>
          <w:sz w:val="22"/>
          <w:szCs w:val="22"/>
        </w:rPr>
        <w:t xml:space="preserve"> 15 (April</w:t>
      </w:r>
      <w:r w:rsidR="00722E2F">
        <w:rPr>
          <w:sz w:val="22"/>
          <w:szCs w:val="22"/>
        </w:rPr>
        <w:t xml:space="preserve"> </w:t>
      </w:r>
      <w:r w:rsidR="00722E2F" w:rsidRPr="006A7ACD">
        <w:rPr>
          <w:sz w:val="22"/>
          <w:szCs w:val="22"/>
        </w:rPr>
        <w:t>2008</w:t>
      </w:r>
      <w:r w:rsidRPr="006A7ACD">
        <w:rPr>
          <w:sz w:val="22"/>
          <w:szCs w:val="22"/>
        </w:rPr>
        <w:t>)</w:t>
      </w:r>
      <w:r w:rsidR="00D73B5E">
        <w:rPr>
          <w:sz w:val="22"/>
          <w:szCs w:val="22"/>
        </w:rPr>
        <w:t>:</w:t>
      </w:r>
      <w:r w:rsidRPr="006A7ACD">
        <w:rPr>
          <w:sz w:val="22"/>
          <w:szCs w:val="22"/>
        </w:rPr>
        <w:t xml:space="preserve"> 108–137</w:t>
      </w:r>
      <w:r w:rsidR="00D73B5E">
        <w:rPr>
          <w:sz w:val="22"/>
          <w:szCs w:val="22"/>
        </w:rPr>
        <w:t>,</w:t>
      </w:r>
      <w:r w:rsidRPr="006A7ACD">
        <w:rPr>
          <w:sz w:val="22"/>
          <w:szCs w:val="22"/>
        </w:rPr>
        <w:t xml:space="preserve"> </w:t>
      </w:r>
      <w:r w:rsidRPr="006A7ACD">
        <w:rPr>
          <w:color w:val="0000FF"/>
          <w:sz w:val="22"/>
          <w:szCs w:val="22"/>
        </w:rPr>
        <w:t>doi:10.2979/NAS.2008.-.15.108</w:t>
      </w:r>
      <w:r w:rsidRPr="006A7ACD">
        <w:rPr>
          <w:sz w:val="22"/>
          <w:szCs w:val="22"/>
        </w:rPr>
        <w:t>.</w:t>
      </w:r>
    </w:p>
    <w:p w14:paraId="6F26D6F0" w14:textId="77777777"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“Part II: Translation (Notes)—Methodology; Exodus; Leviticus; Numbers.” </w:t>
      </w:r>
      <w:r w:rsidRPr="006A7ACD">
        <w:rPr>
          <w:i/>
          <w:iCs/>
          <w:sz w:val="22"/>
          <w:szCs w:val="22"/>
        </w:rPr>
        <w:t>Docu</w:t>
      </w:r>
      <w:r w:rsidRPr="006A7ACD">
        <w:rPr>
          <w:i/>
          <w:iCs/>
          <w:sz w:val="22"/>
          <w:szCs w:val="22"/>
        </w:rPr>
        <w:softHyphen/>
        <w:t>men</w:t>
      </w:r>
      <w:r w:rsidRPr="006A7ACD">
        <w:rPr>
          <w:i/>
          <w:iCs/>
          <w:sz w:val="22"/>
          <w:szCs w:val="22"/>
        </w:rPr>
        <w:softHyphen/>
        <w:t>tation for the Revised Edition of The Torah: A Modern Commentary</w:t>
      </w:r>
      <w:r>
        <w:rPr>
          <w:sz w:val="22"/>
          <w:szCs w:val="22"/>
        </w:rPr>
        <w:t xml:space="preserve">, online. New York: URJ Press, </w:t>
      </w:r>
      <w:r w:rsidRPr="006A7ACD">
        <w:rPr>
          <w:sz w:val="22"/>
          <w:szCs w:val="22"/>
        </w:rPr>
        <w:t>2014</w:t>
      </w:r>
      <w:r>
        <w:rPr>
          <w:sz w:val="22"/>
          <w:szCs w:val="22"/>
        </w:rPr>
        <w:t>.</w:t>
      </w:r>
      <w:r w:rsidRPr="006A7ACD">
        <w:rPr>
          <w:sz w:val="22"/>
          <w:szCs w:val="22"/>
        </w:rPr>
        <w:t xml:space="preserve"> </w:t>
      </w:r>
      <w:r w:rsidRPr="006A7ACD">
        <w:rPr>
          <w:color w:val="0000FF"/>
          <w:sz w:val="22"/>
          <w:szCs w:val="22"/>
        </w:rPr>
        <w:t>purl.org/</w:t>
      </w:r>
      <w:proofErr w:type="spellStart"/>
      <w:r w:rsidRPr="006A7ACD">
        <w:rPr>
          <w:color w:val="0000FF"/>
          <w:sz w:val="22"/>
          <w:szCs w:val="22"/>
        </w:rPr>
        <w:t>ccar</w:t>
      </w:r>
      <w:proofErr w:type="spellEnd"/>
      <w:r w:rsidRPr="006A7ACD">
        <w:rPr>
          <w:color w:val="0000FF"/>
          <w:sz w:val="22"/>
          <w:szCs w:val="22"/>
        </w:rPr>
        <w:t>/</w:t>
      </w:r>
      <w:proofErr w:type="spellStart"/>
      <w:r w:rsidRPr="006A7ACD">
        <w:rPr>
          <w:color w:val="0000FF"/>
          <w:sz w:val="22"/>
          <w:szCs w:val="22"/>
        </w:rPr>
        <w:t>tamc</w:t>
      </w:r>
      <w:proofErr w:type="spellEnd"/>
      <w:r w:rsidRPr="006A7ACD">
        <w:rPr>
          <w:sz w:val="22"/>
          <w:szCs w:val="22"/>
        </w:rPr>
        <w:t>.</w:t>
      </w:r>
    </w:p>
    <w:p w14:paraId="40F5063A" w14:textId="77777777"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“Preface.” In </w:t>
      </w:r>
      <w:r w:rsidRPr="006A7ACD">
        <w:rPr>
          <w:i/>
          <w:iCs/>
          <w:sz w:val="22"/>
          <w:szCs w:val="22"/>
        </w:rPr>
        <w:t>The Con</w:t>
      </w:r>
      <w:r w:rsidRPr="006A7ACD">
        <w:rPr>
          <w:i/>
          <w:iCs/>
          <w:sz w:val="22"/>
          <w:szCs w:val="22"/>
        </w:rPr>
        <w:softHyphen/>
        <w:t>tempo</w:t>
      </w:r>
      <w:r w:rsidRPr="006A7ACD">
        <w:rPr>
          <w:i/>
          <w:iCs/>
          <w:sz w:val="22"/>
          <w:szCs w:val="22"/>
        </w:rPr>
        <w:softHyphen/>
        <w:t>rary Torah: A Gender-Sensitive Adaptation of the JPS Translation</w:t>
      </w:r>
      <w:r>
        <w:rPr>
          <w:sz w:val="22"/>
          <w:szCs w:val="22"/>
        </w:rPr>
        <w:t xml:space="preserve">, edited by </w:t>
      </w:r>
      <w:r w:rsidRPr="006A7ACD">
        <w:rPr>
          <w:sz w:val="22"/>
          <w:szCs w:val="22"/>
        </w:rPr>
        <w:t>David E. S.</w:t>
      </w:r>
      <w:r>
        <w:rPr>
          <w:sz w:val="22"/>
          <w:szCs w:val="22"/>
        </w:rPr>
        <w:t xml:space="preserve"> </w:t>
      </w:r>
      <w:r w:rsidRPr="006A7ACD">
        <w:rPr>
          <w:sz w:val="22"/>
          <w:szCs w:val="22"/>
        </w:rPr>
        <w:t xml:space="preserve">Stein, </w:t>
      </w:r>
      <w:r w:rsidRPr="006A7ACD">
        <w:rPr>
          <w:iCs/>
          <w:sz w:val="22"/>
          <w:szCs w:val="22"/>
        </w:rPr>
        <w:t>v–xxxv</w:t>
      </w:r>
      <w:r w:rsidRPr="006A7ACD">
        <w:rPr>
          <w:sz w:val="22"/>
          <w:szCs w:val="22"/>
        </w:rPr>
        <w:t>. Philadel</w:t>
      </w:r>
      <w:r w:rsidRPr="006A7ACD">
        <w:rPr>
          <w:sz w:val="22"/>
          <w:szCs w:val="22"/>
        </w:rPr>
        <w:softHyphen/>
        <w:t xml:space="preserve">phia: </w:t>
      </w:r>
      <w:r>
        <w:rPr>
          <w:sz w:val="22"/>
          <w:szCs w:val="22"/>
        </w:rPr>
        <w:t xml:space="preserve">The </w:t>
      </w:r>
      <w:r w:rsidRPr="006A7ACD">
        <w:rPr>
          <w:sz w:val="22"/>
          <w:szCs w:val="22"/>
        </w:rPr>
        <w:t>Jewish Publication Society</w:t>
      </w:r>
      <w:r>
        <w:rPr>
          <w:sz w:val="22"/>
          <w:szCs w:val="22"/>
        </w:rPr>
        <w:t xml:space="preserve">, </w:t>
      </w:r>
      <w:r w:rsidRPr="006A7ACD">
        <w:rPr>
          <w:sz w:val="22"/>
          <w:szCs w:val="22"/>
        </w:rPr>
        <w:t>2006</w:t>
      </w:r>
      <w:r w:rsidRPr="006A7ACD">
        <w:rPr>
          <w:iCs/>
          <w:sz w:val="22"/>
          <w:szCs w:val="22"/>
        </w:rPr>
        <w:t>.</w:t>
      </w:r>
      <w:r w:rsidRPr="006A7ACD">
        <w:rPr>
          <w:sz w:val="22"/>
          <w:szCs w:val="22"/>
        </w:rPr>
        <w:t xml:space="preserve"> </w:t>
      </w:r>
      <w:r w:rsidRPr="006A7ACD">
        <w:rPr>
          <w:color w:val="0000FF"/>
          <w:sz w:val="22"/>
          <w:szCs w:val="22"/>
        </w:rPr>
        <w:t>purl.org/stein/</w:t>
      </w:r>
      <w:proofErr w:type="spellStart"/>
      <w:r w:rsidRPr="006A7ACD">
        <w:rPr>
          <w:color w:val="0000FF"/>
          <w:sz w:val="22"/>
          <w:szCs w:val="22"/>
        </w:rPr>
        <w:t>cjps</w:t>
      </w:r>
      <w:proofErr w:type="spellEnd"/>
      <w:r w:rsidRPr="006A7ACD">
        <w:rPr>
          <w:color w:val="0000FF"/>
          <w:sz w:val="22"/>
          <w:szCs w:val="22"/>
        </w:rPr>
        <w:t>-preface</w:t>
      </w:r>
      <w:r w:rsidRPr="006A7ACD">
        <w:rPr>
          <w:sz w:val="22"/>
          <w:szCs w:val="22"/>
        </w:rPr>
        <w:t xml:space="preserve">. </w:t>
      </w:r>
    </w:p>
    <w:p w14:paraId="3B7E9EA4" w14:textId="10636820" w:rsidR="003D2272" w:rsidRDefault="003D2272" w:rsidP="003D2272">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w:t>
      </w:r>
      <w:r>
        <w:rPr>
          <w:sz w:val="22"/>
          <w:szCs w:val="22"/>
        </w:rPr>
        <w:t>Relational Meanings</w:t>
      </w:r>
      <w:r w:rsidRPr="006A7ACD">
        <w:rPr>
          <w:sz w:val="22"/>
          <w:szCs w:val="22"/>
        </w:rPr>
        <w:t xml:space="preserve"> of the Noun </w:t>
      </w:r>
      <w:proofErr w:type="spellStart"/>
      <w:r w:rsidRPr="006A7ACD">
        <w:rPr>
          <w:rFonts w:ascii="SBL BibLit" w:hAnsi="SBL BibLit" w:cs="SBL BibLit" w:hint="cs"/>
          <w:sz w:val="22"/>
          <w:szCs w:val="22"/>
        </w:rPr>
        <w:t>אִיש</w:t>
      </w:r>
      <w:proofErr w:type="spellEnd"/>
      <w:r w:rsidRPr="006A7ACD">
        <w:rPr>
          <w:rFonts w:ascii="SBL BibLit" w:hAnsi="SBL BibLit" w:cs="SBL BibLit" w:hint="cs"/>
          <w:sz w:val="22"/>
          <w:szCs w:val="22"/>
        </w:rPr>
        <w:t>ׁ</w:t>
      </w:r>
      <w:r w:rsidRPr="006A7ACD">
        <w:rPr>
          <w:sz w:val="22"/>
          <w:szCs w:val="22"/>
        </w:rPr>
        <w:t xml:space="preserve"> (</w:t>
      </w:r>
      <w:r w:rsidRPr="006A7ACD">
        <w:rPr>
          <w:i/>
          <w:sz w:val="22"/>
          <w:szCs w:val="22"/>
        </w:rPr>
        <w:t>’</w:t>
      </w:r>
      <w:proofErr w:type="spellStart"/>
      <w:r w:rsidRPr="006A7ACD">
        <w:rPr>
          <w:i/>
          <w:sz w:val="22"/>
          <w:szCs w:val="22"/>
        </w:rPr>
        <w:t>îš</w:t>
      </w:r>
      <w:proofErr w:type="spellEnd"/>
      <w:r w:rsidRPr="006A7ACD">
        <w:rPr>
          <w:sz w:val="22"/>
          <w:szCs w:val="22"/>
        </w:rPr>
        <w:t>) in Biblical Hebrew.” Ph.D. dissertation. Department of Ancient Studies, University of Stellenbosch</w:t>
      </w:r>
      <w:r>
        <w:rPr>
          <w:sz w:val="22"/>
          <w:szCs w:val="22"/>
        </w:rPr>
        <w:t>, 2020</w:t>
      </w:r>
      <w:r w:rsidRPr="006A7ACD">
        <w:rPr>
          <w:sz w:val="22"/>
          <w:szCs w:val="22"/>
        </w:rPr>
        <w:t xml:space="preserve">. </w:t>
      </w:r>
      <w:r w:rsidRPr="006A7ACD">
        <w:rPr>
          <w:color w:val="0000FF"/>
          <w:sz w:val="22"/>
          <w:szCs w:val="22"/>
        </w:rPr>
        <w:t>purl.org/scholar/stein-</w:t>
      </w:r>
      <w:proofErr w:type="spellStart"/>
      <w:r w:rsidRPr="006A7ACD">
        <w:rPr>
          <w:color w:val="0000FF"/>
          <w:sz w:val="22"/>
          <w:szCs w:val="22"/>
        </w:rPr>
        <w:t>phd</w:t>
      </w:r>
      <w:proofErr w:type="spellEnd"/>
      <w:r w:rsidRPr="006A7ACD">
        <w:rPr>
          <w:color w:val="0000FF"/>
          <w:sz w:val="22"/>
          <w:szCs w:val="22"/>
        </w:rPr>
        <w:t>-diss</w:t>
      </w:r>
      <w:r w:rsidRPr="006A7ACD">
        <w:rPr>
          <w:sz w:val="22"/>
          <w:szCs w:val="22"/>
        </w:rPr>
        <w:t>.</w:t>
      </w:r>
    </w:p>
    <w:p w14:paraId="4F470971" w14:textId="70C7C933" w:rsidR="005B464D" w:rsidRPr="006A7ACD" w:rsidRDefault="005B464D" w:rsidP="005B464D">
      <w:pPr>
        <w:pStyle w:val="Standard1218justified"/>
        <w:ind w:left="360" w:hanging="360"/>
        <w:rPr>
          <w:sz w:val="22"/>
          <w:szCs w:val="22"/>
        </w:rPr>
      </w:pPr>
      <w:r w:rsidRPr="006A7ACD">
        <w:rPr>
          <w:sz w:val="22"/>
          <w:szCs w:val="22"/>
        </w:rPr>
        <w:t>———</w:t>
      </w:r>
      <w:r>
        <w:rPr>
          <w:sz w:val="22"/>
          <w:szCs w:val="22"/>
        </w:rPr>
        <w:t>.</w:t>
      </w:r>
      <w:r w:rsidRPr="006A7ACD">
        <w:rPr>
          <w:sz w:val="22"/>
          <w:szCs w:val="22"/>
        </w:rPr>
        <w:t xml:space="preserve"> “The Situational Noun in Ancient Hebrew: A New Understanding of </w:t>
      </w:r>
      <w:r w:rsidRPr="00EB3C9A">
        <w:rPr>
          <w:rFonts w:hAnsi="SBL BibLit" w:cs="SBL BibLit"/>
          <w:sz w:val="22"/>
          <w:szCs w:val="22"/>
          <w:rtl/>
          <w:lang w:bidi="he-IL"/>
        </w:rPr>
        <w:t>אִישׁ</w:t>
      </w:r>
      <w:r w:rsidRPr="006A7ACD">
        <w:rPr>
          <w:sz w:val="22"/>
          <w:szCs w:val="22"/>
        </w:rPr>
        <w:t>.” Paper presented to the Biblical Lexicography section, Society of Biblical Literature. Annual Meeting, San Antonio, Texas, November</w:t>
      </w:r>
      <w:r>
        <w:rPr>
          <w:sz w:val="22"/>
          <w:szCs w:val="22"/>
        </w:rPr>
        <w:t xml:space="preserve"> 22, </w:t>
      </w:r>
      <w:r w:rsidRPr="006A7ACD">
        <w:rPr>
          <w:sz w:val="22"/>
          <w:szCs w:val="22"/>
        </w:rPr>
        <w:t xml:space="preserve">2021. </w:t>
      </w:r>
      <w:r w:rsidRPr="006A7ACD">
        <w:rPr>
          <w:color w:val="0000FF"/>
          <w:sz w:val="22"/>
          <w:szCs w:val="22"/>
        </w:rPr>
        <w:t>purl.org/stein/situational</w:t>
      </w:r>
      <w:r w:rsidRPr="006A7ACD">
        <w:rPr>
          <w:sz w:val="22"/>
          <w:szCs w:val="22"/>
        </w:rPr>
        <w:t xml:space="preserve">. </w:t>
      </w:r>
    </w:p>
    <w:p w14:paraId="3DFE40C5" w14:textId="59FC45BA" w:rsidR="0078175B" w:rsidRPr="006A7ACD" w:rsidRDefault="0078175B" w:rsidP="0078175B">
      <w:pPr>
        <w:pStyle w:val="Standard1218justified"/>
        <w:ind w:left="360" w:hanging="360"/>
        <w:rPr>
          <w:sz w:val="22"/>
          <w:szCs w:val="22"/>
        </w:rPr>
      </w:pPr>
      <w:r w:rsidRPr="006A7ACD">
        <w:rPr>
          <w:sz w:val="22"/>
          <w:szCs w:val="22"/>
        </w:rPr>
        <w:t>———</w:t>
      </w:r>
      <w:r w:rsidR="00886B6D">
        <w:rPr>
          <w:sz w:val="22"/>
          <w:szCs w:val="22"/>
        </w:rPr>
        <w:t>.</w:t>
      </w:r>
      <w:r w:rsidRPr="006A7ACD">
        <w:rPr>
          <w:sz w:val="22"/>
          <w:szCs w:val="22"/>
        </w:rPr>
        <w:t xml:space="preserve"> “</w:t>
      </w:r>
      <w:r w:rsidRPr="006A7ACD">
        <w:rPr>
          <w:bCs/>
          <w:sz w:val="22"/>
          <w:szCs w:val="22"/>
        </w:rPr>
        <w:t>Unavoidable Gender Ambiguities: A Primer for Readers of English Trans</w:t>
      </w:r>
      <w:r w:rsidRPr="006A7ACD">
        <w:rPr>
          <w:bCs/>
          <w:sz w:val="22"/>
          <w:szCs w:val="22"/>
        </w:rPr>
        <w:softHyphen/>
        <w:t>la</w:t>
      </w:r>
      <w:r w:rsidRPr="006A7ACD">
        <w:rPr>
          <w:bCs/>
          <w:sz w:val="22"/>
          <w:szCs w:val="22"/>
        </w:rPr>
        <w:softHyphen/>
        <w:t>tions from Biblical Hebrew.</w:t>
      </w:r>
      <w:r w:rsidRPr="006A7ACD">
        <w:rPr>
          <w:sz w:val="22"/>
          <w:szCs w:val="22"/>
        </w:rPr>
        <w:t xml:space="preserve">” </w:t>
      </w:r>
      <w:r w:rsidRPr="006A7ACD">
        <w:rPr>
          <w:i/>
          <w:iCs/>
          <w:sz w:val="22"/>
          <w:szCs w:val="22"/>
        </w:rPr>
        <w:t>SBL Forum</w:t>
      </w:r>
      <w:r w:rsidRPr="006A7ACD">
        <w:rPr>
          <w:sz w:val="22"/>
          <w:szCs w:val="22"/>
        </w:rPr>
        <w:t xml:space="preserve"> (Summer</w:t>
      </w:r>
      <w:r w:rsidR="00886B6D">
        <w:rPr>
          <w:sz w:val="22"/>
          <w:szCs w:val="22"/>
        </w:rPr>
        <w:t xml:space="preserve"> </w:t>
      </w:r>
      <w:r w:rsidR="00886B6D" w:rsidRPr="006A7ACD">
        <w:rPr>
          <w:sz w:val="22"/>
          <w:szCs w:val="22"/>
        </w:rPr>
        <w:t>2009</w:t>
      </w:r>
      <w:r w:rsidRPr="006A7ACD">
        <w:rPr>
          <w:sz w:val="22"/>
          <w:szCs w:val="22"/>
        </w:rPr>
        <w:t>)</w:t>
      </w:r>
      <w:r w:rsidR="00886B6D">
        <w:rPr>
          <w:sz w:val="22"/>
          <w:szCs w:val="22"/>
        </w:rPr>
        <w:t>, online</w:t>
      </w:r>
      <w:r w:rsidRPr="006A7ACD">
        <w:rPr>
          <w:sz w:val="22"/>
          <w:szCs w:val="22"/>
        </w:rPr>
        <w:t xml:space="preserve">. </w:t>
      </w:r>
      <w:r w:rsidRPr="006A7ACD">
        <w:rPr>
          <w:color w:val="0000FF"/>
          <w:sz w:val="22"/>
          <w:szCs w:val="22"/>
        </w:rPr>
        <w:t>purl.org/scholar/</w:t>
      </w:r>
      <w:proofErr w:type="spellStart"/>
      <w:r w:rsidRPr="006A7ACD">
        <w:rPr>
          <w:color w:val="0000FF"/>
          <w:sz w:val="22"/>
          <w:szCs w:val="22"/>
        </w:rPr>
        <w:t>sbl</w:t>
      </w:r>
      <w:proofErr w:type="spellEnd"/>
      <w:r w:rsidRPr="006A7ACD">
        <w:rPr>
          <w:color w:val="0000FF"/>
          <w:sz w:val="22"/>
          <w:szCs w:val="22"/>
        </w:rPr>
        <w:t>-gender</w:t>
      </w:r>
      <w:r w:rsidRPr="006A7ACD">
        <w:rPr>
          <w:sz w:val="22"/>
          <w:szCs w:val="22"/>
        </w:rPr>
        <w:t>.</w:t>
      </w:r>
    </w:p>
    <w:p w14:paraId="6F0FD039" w14:textId="54E96348" w:rsidR="0078175B" w:rsidRPr="006A7ACD" w:rsidRDefault="0078175B" w:rsidP="0078175B">
      <w:pPr>
        <w:pStyle w:val="Standard1218justified"/>
        <w:ind w:left="360" w:hanging="360"/>
        <w:rPr>
          <w:sz w:val="22"/>
          <w:szCs w:val="22"/>
        </w:rPr>
      </w:pPr>
      <w:r w:rsidRPr="006A7ACD">
        <w:rPr>
          <w:sz w:val="22"/>
          <w:szCs w:val="22"/>
        </w:rPr>
        <w:t>———</w:t>
      </w:r>
      <w:r w:rsidR="00EB3C9A">
        <w:rPr>
          <w:sz w:val="22"/>
          <w:szCs w:val="22"/>
        </w:rPr>
        <w:t>.</w:t>
      </w:r>
      <w:r w:rsidRPr="006A7ACD">
        <w:rPr>
          <w:sz w:val="22"/>
          <w:szCs w:val="22"/>
        </w:rPr>
        <w:t xml:space="preserve"> “When Did the Biblical Hebrew Noun </w:t>
      </w:r>
      <w:proofErr w:type="spellStart"/>
      <w:r w:rsidRPr="006A7ACD">
        <w:rPr>
          <w:rFonts w:ascii="SBL BibLit" w:hAnsi="SBL BibLit" w:cs="SBL BibLit" w:hint="cs"/>
          <w:sz w:val="22"/>
          <w:szCs w:val="22"/>
        </w:rPr>
        <w:t>אִיש</w:t>
      </w:r>
      <w:proofErr w:type="spellEnd"/>
      <w:r w:rsidRPr="006A7ACD">
        <w:rPr>
          <w:rFonts w:ascii="SBL BibLit" w:hAnsi="SBL BibLit" w:cs="SBL BibLit" w:hint="cs"/>
          <w:sz w:val="22"/>
          <w:szCs w:val="22"/>
        </w:rPr>
        <w:t>ׁ</w:t>
      </w:r>
      <w:r w:rsidRPr="006A7ACD">
        <w:rPr>
          <w:sz w:val="22"/>
          <w:szCs w:val="22"/>
        </w:rPr>
        <w:t xml:space="preserve"> Become Lexically Gendered?” Paper presented to the Linguistics and Biblical Hebrew section, Society of Biblical Liter</w:t>
      </w:r>
      <w:r w:rsidRPr="006A7ACD">
        <w:rPr>
          <w:sz w:val="22"/>
          <w:szCs w:val="22"/>
        </w:rPr>
        <w:softHyphen/>
        <w:t>ature. Annual Meeting, San Diego, November</w:t>
      </w:r>
      <w:r w:rsidR="00EB3C9A">
        <w:rPr>
          <w:sz w:val="22"/>
          <w:szCs w:val="22"/>
        </w:rPr>
        <w:t xml:space="preserve"> 24, </w:t>
      </w:r>
      <w:r w:rsidR="00EB3C9A" w:rsidRPr="006A7ACD">
        <w:rPr>
          <w:sz w:val="22"/>
          <w:szCs w:val="22"/>
        </w:rPr>
        <w:t>2019</w:t>
      </w:r>
      <w:r w:rsidRPr="006A7ACD">
        <w:rPr>
          <w:sz w:val="22"/>
          <w:szCs w:val="22"/>
        </w:rPr>
        <w:t xml:space="preserve">. </w:t>
      </w:r>
      <w:r w:rsidRPr="006A7ACD">
        <w:rPr>
          <w:color w:val="0000FF"/>
          <w:sz w:val="22"/>
          <w:szCs w:val="22"/>
        </w:rPr>
        <w:t>purl.org/stein/lex-gender.</w:t>
      </w:r>
    </w:p>
    <w:sectPr w:rsidR="0078175B" w:rsidRPr="006A7ACD" w:rsidSect="00BF5E25">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13FD" w14:textId="77777777" w:rsidR="00BF434D" w:rsidRDefault="00BF434D" w:rsidP="00D300C8">
      <w:r>
        <w:separator/>
      </w:r>
    </w:p>
  </w:endnote>
  <w:endnote w:type="continuationSeparator" w:id="0">
    <w:p w14:paraId="15FD4176" w14:textId="77777777" w:rsidR="00BF434D" w:rsidRDefault="00BF434D" w:rsidP="00D3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Pro">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is SIL">
    <w:charset w:val="4D"/>
    <w:family w:val="auto"/>
    <w:pitch w:val="variable"/>
    <w:sig w:usb0="A00002FF" w:usb1="5200A1FF" w:usb2="02000009" w:usb3="00000000" w:csb0="00000197" w:csb1="00000000"/>
  </w:font>
  <w:font w:name="David">
    <w:charset w:val="B1"/>
    <w:family w:val="swiss"/>
    <w:pitch w:val="variable"/>
    <w:sig w:usb0="00000803" w:usb1="00000000" w:usb2="00000000" w:usb3="00000000" w:csb0="00000021" w:csb1="00000000"/>
  </w:font>
  <w:font w:name="TimelT">
    <w:altName w:val="Times New Roman"/>
    <w:charset w:val="00"/>
    <w:family w:val="auto"/>
    <w:pitch w:val="variable"/>
    <w:sig w:usb0="00000007" w:usb1="00000000" w:usb2="00000000" w:usb3="00000000" w:csb0="00000013" w:csb1="00000000"/>
  </w:font>
  <w:font w:name="SBL BibLit">
    <w:altName w:val="Arial"/>
    <w:charset w:val="B1"/>
    <w:family w:val="auto"/>
    <w:pitch w:val="variable"/>
    <w:sig w:usb0="E00008FF" w:usb1="5201E0EB" w:usb2="02000020" w:usb3="00000000" w:csb0="000000B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C42D" w14:textId="77777777" w:rsidR="00BF434D" w:rsidRDefault="00BF434D" w:rsidP="00D300C8">
      <w:r>
        <w:separator/>
      </w:r>
    </w:p>
  </w:footnote>
  <w:footnote w:type="continuationSeparator" w:id="0">
    <w:p w14:paraId="6B9B7509" w14:textId="77777777" w:rsidR="00BF434D" w:rsidRDefault="00BF434D" w:rsidP="00D300C8">
      <w:r>
        <w:continuationSeparator/>
      </w:r>
    </w:p>
  </w:footnote>
  <w:footnote w:id="1">
    <w:p w14:paraId="623FBED5" w14:textId="08466B14" w:rsidR="000E33DC" w:rsidRPr="00B45606" w:rsidRDefault="000E33DC" w:rsidP="000E33DC">
      <w:pPr>
        <w:pStyle w:val="FootnoteText"/>
      </w:pPr>
      <w:r>
        <w:rPr>
          <w:rStyle w:val="FootnoteReference"/>
        </w:rPr>
        <w:footnoteRef/>
      </w:r>
      <w:r>
        <w:t xml:space="preserve"> </w:t>
      </w:r>
      <w:r w:rsidR="005204B2">
        <w:t xml:space="preserve">In English parlance, </w:t>
      </w:r>
      <w:r w:rsidR="005204B2" w:rsidRPr="00B45606">
        <w:rPr>
          <w:rFonts w:asciiTheme="majorBidi" w:hAnsiTheme="majorBidi" w:cstheme="majorBidi"/>
          <w:color w:val="000000"/>
          <w:szCs w:val="24"/>
        </w:rPr>
        <w:t>g</w:t>
      </w:r>
      <w:r w:rsidR="00072375">
        <w:t xml:space="preserve">ender is always considered </w:t>
      </w:r>
      <w:r w:rsidR="005204B2">
        <w:t xml:space="preserve">to be </w:t>
      </w:r>
      <w:r w:rsidR="00072375">
        <w:t>germane in certain speech contexts that</w:t>
      </w:r>
      <w:r w:rsidR="00D57DA5">
        <w:t xml:space="preserve"> involve the intersection of gender with other social categories</w:t>
      </w:r>
      <w:r w:rsidR="007C5982">
        <w:t xml:space="preserve">. </w:t>
      </w:r>
      <w:r w:rsidR="005204B2">
        <w:t xml:space="preserve">It </w:t>
      </w:r>
      <w:r w:rsidRPr="00B45606">
        <w:rPr>
          <w:rFonts w:asciiTheme="majorBidi" w:hAnsiTheme="majorBidi" w:cstheme="majorBidi"/>
          <w:color w:val="000000"/>
          <w:szCs w:val="24"/>
        </w:rPr>
        <w:t>is</w:t>
      </w:r>
      <w:r w:rsidR="00072375">
        <w:rPr>
          <w:rFonts w:asciiTheme="majorBidi" w:hAnsiTheme="majorBidi" w:cstheme="majorBidi"/>
          <w:color w:val="000000"/>
          <w:szCs w:val="24"/>
        </w:rPr>
        <w:t xml:space="preserve"> supposed</w:t>
      </w:r>
      <w:r w:rsidRPr="00B45606">
        <w:rPr>
          <w:rFonts w:asciiTheme="majorBidi" w:hAnsiTheme="majorBidi" w:cstheme="majorBidi"/>
          <w:color w:val="000000"/>
          <w:szCs w:val="24"/>
        </w:rPr>
        <w:t xml:space="preserve"> </w:t>
      </w:r>
      <w:r w:rsidR="007C5982">
        <w:rPr>
          <w:rFonts w:asciiTheme="majorBidi" w:hAnsiTheme="majorBidi" w:cstheme="majorBidi"/>
          <w:color w:val="000000"/>
          <w:szCs w:val="24"/>
        </w:rPr>
        <w:t>to be</w:t>
      </w:r>
      <w:r w:rsidR="00AB38BA" w:rsidRPr="00B45606">
        <w:rPr>
          <w:rFonts w:asciiTheme="majorBidi" w:hAnsiTheme="majorBidi" w:cstheme="majorBidi"/>
          <w:color w:val="000000"/>
          <w:szCs w:val="24"/>
        </w:rPr>
        <w:t xml:space="preserve"> </w:t>
      </w:r>
      <w:r w:rsidRPr="00B45606">
        <w:rPr>
          <w:rFonts w:asciiTheme="majorBidi" w:hAnsiTheme="majorBidi" w:cstheme="majorBidi"/>
          <w:color w:val="000000"/>
          <w:szCs w:val="24"/>
        </w:rPr>
        <w:t>specified when</w:t>
      </w:r>
      <w:r w:rsidR="00072375">
        <w:rPr>
          <w:rFonts w:asciiTheme="majorBidi" w:hAnsiTheme="majorBidi" w:cstheme="majorBidi"/>
          <w:color w:val="000000"/>
          <w:szCs w:val="24"/>
        </w:rPr>
        <w:t>ever</w:t>
      </w:r>
      <w:r w:rsidRPr="00B45606">
        <w:rPr>
          <w:rFonts w:asciiTheme="majorBidi" w:hAnsiTheme="majorBidi" w:cstheme="majorBidi"/>
          <w:color w:val="000000"/>
          <w:szCs w:val="24"/>
        </w:rPr>
        <w:t xml:space="preserve"> </w:t>
      </w:r>
      <w:r w:rsidR="00072375">
        <w:rPr>
          <w:rFonts w:asciiTheme="majorBidi" w:hAnsiTheme="majorBidi" w:cstheme="majorBidi"/>
          <w:color w:val="000000"/>
          <w:szCs w:val="24"/>
        </w:rPr>
        <w:t xml:space="preserve">announcing </w:t>
      </w:r>
      <w:r w:rsidR="00D57DA5">
        <w:rPr>
          <w:rFonts w:asciiTheme="majorBidi" w:hAnsiTheme="majorBidi" w:cstheme="majorBidi"/>
          <w:color w:val="000000"/>
          <w:szCs w:val="24"/>
        </w:rPr>
        <w:t>a</w:t>
      </w:r>
      <w:r w:rsidRPr="00B45606">
        <w:rPr>
          <w:rFonts w:asciiTheme="majorBidi" w:hAnsiTheme="majorBidi" w:cstheme="majorBidi"/>
          <w:color w:val="000000"/>
          <w:szCs w:val="24"/>
        </w:rPr>
        <w:t xml:space="preserve"> newborn</w:t>
      </w:r>
      <w:r w:rsidR="00D57DA5">
        <w:rPr>
          <w:rFonts w:asciiTheme="majorBidi" w:hAnsiTheme="majorBidi" w:cstheme="majorBidi"/>
          <w:color w:val="000000"/>
          <w:szCs w:val="24"/>
        </w:rPr>
        <w:t xml:space="preserve"> or </w:t>
      </w:r>
      <w:r w:rsidR="00072375">
        <w:rPr>
          <w:rFonts w:asciiTheme="majorBidi" w:hAnsiTheme="majorBidi" w:cstheme="majorBidi"/>
          <w:color w:val="000000"/>
          <w:szCs w:val="24"/>
        </w:rPr>
        <w:t>introducing certain</w:t>
      </w:r>
      <w:r w:rsidRPr="00B45606">
        <w:rPr>
          <w:rFonts w:asciiTheme="majorBidi" w:hAnsiTheme="majorBidi" w:cstheme="majorBidi"/>
          <w:color w:val="000000"/>
          <w:szCs w:val="24"/>
        </w:rPr>
        <w:t xml:space="preserve"> kin relations</w:t>
      </w:r>
      <w:r w:rsidR="00AB38BA" w:rsidRPr="00B45606">
        <w:rPr>
          <w:rFonts w:asciiTheme="majorBidi" w:hAnsiTheme="majorBidi" w:cstheme="majorBidi"/>
          <w:color w:val="000000"/>
          <w:szCs w:val="24"/>
        </w:rPr>
        <w:t xml:space="preserve"> (e.g., </w:t>
      </w:r>
      <w:r w:rsidR="005204B2">
        <w:rPr>
          <w:rFonts w:asciiTheme="majorBidi" w:hAnsiTheme="majorBidi" w:cstheme="majorBidi"/>
          <w:color w:val="000000"/>
          <w:szCs w:val="24"/>
        </w:rPr>
        <w:t xml:space="preserve">one’s </w:t>
      </w:r>
      <w:r w:rsidR="00AB38BA" w:rsidRPr="00B45606">
        <w:rPr>
          <w:rFonts w:asciiTheme="majorBidi" w:hAnsiTheme="majorBidi" w:cstheme="majorBidi"/>
          <w:color w:val="000000"/>
          <w:szCs w:val="24"/>
        </w:rPr>
        <w:t>brother/sister)</w:t>
      </w:r>
      <w:r w:rsidRPr="00B45606">
        <w:rPr>
          <w:rFonts w:asciiTheme="majorBidi" w:hAnsiTheme="majorBidi" w:cstheme="majorBidi"/>
          <w:color w:val="000000"/>
          <w:szCs w:val="24"/>
        </w:rPr>
        <w:t>, and</w:t>
      </w:r>
      <w:r w:rsidR="00D57DA5">
        <w:rPr>
          <w:rFonts w:asciiTheme="majorBidi" w:hAnsiTheme="majorBidi" w:cstheme="majorBidi"/>
          <w:color w:val="000000"/>
          <w:szCs w:val="24"/>
        </w:rPr>
        <w:t xml:space="preserve"> when discussing</w:t>
      </w:r>
      <w:r w:rsidRPr="00B45606">
        <w:rPr>
          <w:rFonts w:asciiTheme="majorBidi" w:hAnsiTheme="majorBidi" w:cstheme="majorBidi"/>
          <w:color w:val="000000"/>
          <w:szCs w:val="24"/>
        </w:rPr>
        <w:t xml:space="preserve"> </w:t>
      </w:r>
      <w:r w:rsidR="005204B2">
        <w:rPr>
          <w:rFonts w:asciiTheme="majorBidi" w:hAnsiTheme="majorBidi" w:cstheme="majorBidi"/>
          <w:color w:val="000000"/>
          <w:szCs w:val="24"/>
        </w:rPr>
        <w:t>a specific instantiation</w:t>
      </w:r>
      <w:r w:rsidR="00BC3EAD">
        <w:rPr>
          <w:rFonts w:asciiTheme="majorBidi" w:hAnsiTheme="majorBidi" w:cstheme="majorBidi"/>
          <w:color w:val="000000"/>
          <w:szCs w:val="24"/>
        </w:rPr>
        <w:t xml:space="preserve"> of </w:t>
      </w:r>
      <w:r w:rsidR="00BC3EAD" w:rsidRPr="00B45606">
        <w:rPr>
          <w:rFonts w:asciiTheme="majorBidi" w:hAnsiTheme="majorBidi" w:cstheme="majorBidi"/>
          <w:color w:val="000000"/>
          <w:szCs w:val="24"/>
        </w:rPr>
        <w:t>royalty</w:t>
      </w:r>
      <w:r w:rsidR="00BC3EAD">
        <w:rPr>
          <w:rFonts w:asciiTheme="majorBidi" w:hAnsiTheme="majorBidi" w:cstheme="majorBidi"/>
          <w:color w:val="000000"/>
          <w:szCs w:val="24"/>
        </w:rPr>
        <w:t xml:space="preserve"> or </w:t>
      </w:r>
      <w:r w:rsidR="00BC3EAD" w:rsidRPr="00B45606">
        <w:rPr>
          <w:rFonts w:asciiTheme="majorBidi" w:hAnsiTheme="majorBidi" w:cstheme="majorBidi"/>
          <w:color w:val="000000"/>
          <w:szCs w:val="24"/>
        </w:rPr>
        <w:t>nobility</w:t>
      </w:r>
      <w:r w:rsidR="005204B2">
        <w:rPr>
          <w:rFonts w:asciiTheme="majorBidi" w:hAnsiTheme="majorBidi" w:cstheme="majorBidi"/>
          <w:color w:val="000000"/>
          <w:szCs w:val="24"/>
        </w:rPr>
        <w:t xml:space="preserve"> (e.g., a man is crowned </w:t>
      </w:r>
      <w:r w:rsidR="005204B2">
        <w:rPr>
          <w:rFonts w:asciiTheme="majorBidi" w:hAnsiTheme="majorBidi" w:cstheme="majorBidi"/>
          <w:i/>
          <w:iCs/>
          <w:color w:val="000000"/>
          <w:szCs w:val="24"/>
        </w:rPr>
        <w:t>king</w:t>
      </w:r>
      <w:r w:rsidR="005204B2">
        <w:rPr>
          <w:rFonts w:asciiTheme="majorBidi" w:hAnsiTheme="majorBidi" w:cstheme="majorBidi"/>
          <w:color w:val="000000"/>
          <w:szCs w:val="24"/>
        </w:rPr>
        <w:t xml:space="preserve">; he is not crowned a </w:t>
      </w:r>
      <w:r w:rsidR="005204B2">
        <w:rPr>
          <w:rFonts w:asciiTheme="majorBidi" w:hAnsiTheme="majorBidi" w:cstheme="majorBidi"/>
          <w:i/>
          <w:iCs/>
          <w:color w:val="000000"/>
          <w:szCs w:val="24"/>
        </w:rPr>
        <w:t>monarch</w:t>
      </w:r>
      <w:r w:rsidR="005204B2">
        <w:rPr>
          <w:rFonts w:asciiTheme="majorBidi" w:hAnsiTheme="majorBidi" w:cstheme="majorBidi"/>
          <w:color w:val="000000"/>
          <w:szCs w:val="24"/>
        </w:rPr>
        <w:t>).</w:t>
      </w:r>
      <w:r w:rsidR="002E6774">
        <w:rPr>
          <w:rFonts w:asciiTheme="majorBidi" w:hAnsiTheme="majorBidi" w:cstheme="majorBidi"/>
          <w:color w:val="000000"/>
          <w:szCs w:val="24"/>
        </w:rPr>
        <w:t xml:space="preserve"> </w:t>
      </w:r>
      <w:r w:rsidR="0041041B">
        <w:rPr>
          <w:rFonts w:asciiTheme="majorBidi" w:hAnsiTheme="majorBidi" w:cstheme="majorBidi"/>
          <w:color w:val="000000"/>
          <w:szCs w:val="24"/>
        </w:rPr>
        <w:t>Occasionally, therefore,</w:t>
      </w:r>
      <w:r w:rsidR="002E6774">
        <w:rPr>
          <w:rFonts w:asciiTheme="majorBidi" w:hAnsiTheme="majorBidi" w:cstheme="majorBidi"/>
          <w:color w:val="000000"/>
          <w:szCs w:val="24"/>
        </w:rPr>
        <w:t xml:space="preserve"> </w:t>
      </w:r>
      <w:r w:rsidR="0041041B">
        <w:rPr>
          <w:rFonts w:asciiTheme="majorBidi" w:hAnsiTheme="majorBidi" w:cstheme="majorBidi"/>
          <w:color w:val="000000"/>
          <w:szCs w:val="24"/>
        </w:rPr>
        <w:t>a gendered rendering may be warranted in English even when the original text is not gendered.</w:t>
      </w:r>
    </w:p>
  </w:footnote>
  <w:footnote w:id="2">
    <w:p w14:paraId="5A5E0314" w14:textId="3B0A8CE2" w:rsidR="00945CDB" w:rsidRPr="00B45606" w:rsidRDefault="00945CDB" w:rsidP="00945CDB">
      <w:pPr>
        <w:pStyle w:val="FootnoteText"/>
      </w:pPr>
      <w:r>
        <w:rPr>
          <w:rStyle w:val="FootnoteReference"/>
        </w:rPr>
        <w:footnoteRef/>
      </w:r>
      <w:r>
        <w:t xml:space="preserve"> </w:t>
      </w:r>
      <w:r w:rsidR="00443079">
        <w:t>Not all</w:t>
      </w:r>
      <w:r w:rsidR="00443079" w:rsidRPr="00B45606">
        <w:t xml:space="preserve"> </w:t>
      </w:r>
      <w:r w:rsidR="00C45729" w:rsidRPr="00B45606">
        <w:t>type</w:t>
      </w:r>
      <w:r w:rsidR="00443079">
        <w:t>s</w:t>
      </w:r>
      <w:r w:rsidR="00C45729" w:rsidRPr="00B45606">
        <w:t xml:space="preserve"> of</w:t>
      </w:r>
      <w:r w:rsidRPr="00B45606">
        <w:t xml:space="preserve"> </w:t>
      </w:r>
      <w:r w:rsidR="00C845FA">
        <w:t xml:space="preserve">Bible </w:t>
      </w:r>
      <w:r w:rsidRPr="00B45606">
        <w:t>translation</w:t>
      </w:r>
      <w:r w:rsidR="00443079">
        <w:t xml:space="preserve"> are </w:t>
      </w:r>
      <w:r w:rsidR="004E1032">
        <w:t>consistent with</w:t>
      </w:r>
      <w:r w:rsidR="00443079">
        <w:t xml:space="preserve"> </w:t>
      </w:r>
      <w:r w:rsidR="00AD4619">
        <w:t>this</w:t>
      </w:r>
      <w:r w:rsidR="00C845FA">
        <w:t xml:space="preserve"> norm</w:t>
      </w:r>
      <w:r w:rsidR="00443079">
        <w:t>.</w:t>
      </w:r>
      <w:r w:rsidR="00C45729" w:rsidRPr="00B45606">
        <w:t xml:space="preserve"> </w:t>
      </w:r>
      <w:r w:rsidR="00443079">
        <w:t xml:space="preserve">The type that </w:t>
      </w:r>
      <w:r w:rsidR="00C45729" w:rsidRPr="00B45606">
        <w:t>is</w:t>
      </w:r>
      <w:r w:rsidRPr="00B45606">
        <w:t xml:space="preserve"> the </w:t>
      </w:r>
      <w:r w:rsidRPr="00097315">
        <w:rPr>
          <w:i/>
          <w:iCs/>
        </w:rPr>
        <w:t>least</w:t>
      </w:r>
      <w:r w:rsidRPr="00B45606">
        <w:t xml:space="preserve"> compatible</w:t>
      </w:r>
      <w:r w:rsidR="00443079">
        <w:t xml:space="preserve"> is the</w:t>
      </w:r>
      <w:r w:rsidR="00C45729" w:rsidRPr="00B45606">
        <w:t xml:space="preserve"> one</w:t>
      </w:r>
      <w:r w:rsidRPr="00B45606">
        <w:t xml:space="preserve"> that</w:t>
      </w:r>
      <w:r w:rsidR="00DE3909">
        <w:t>,</w:t>
      </w:r>
      <w:r w:rsidRPr="00B45606">
        <w:t xml:space="preserve"> given </w:t>
      </w:r>
      <w:r w:rsidR="00DE3909">
        <w:t xml:space="preserve">a certain </w:t>
      </w:r>
      <w:r w:rsidRPr="00B45606">
        <w:t>Hebrew noun</w:t>
      </w:r>
      <w:r w:rsidR="00DE3909">
        <w:t xml:space="preserve"> or pronoun, </w:t>
      </w:r>
      <w:r w:rsidR="00DE3909" w:rsidRPr="00B45606">
        <w:t xml:space="preserve">strives to always represent </w:t>
      </w:r>
      <w:r w:rsidR="00DE3909">
        <w:t>it</w:t>
      </w:r>
      <w:r w:rsidRPr="00B45606">
        <w:t xml:space="preserve"> with the same English noun</w:t>
      </w:r>
      <w:r w:rsidR="00DE3909">
        <w:t xml:space="preserve"> or pronoun</w:t>
      </w:r>
      <w:r w:rsidRPr="00B45606">
        <w:t xml:space="preserve">. </w:t>
      </w:r>
      <w:r w:rsidR="0006579C">
        <w:t xml:space="preserve">That approach prefers to </w:t>
      </w:r>
      <w:proofErr w:type="spellStart"/>
      <w:r w:rsidR="0006579C">
        <w:t>emply</w:t>
      </w:r>
      <w:proofErr w:type="spellEnd"/>
      <w:r w:rsidR="00DE3909">
        <w:t xml:space="preserve"> </w:t>
      </w:r>
      <w:r w:rsidR="00C45729" w:rsidRPr="00B45606">
        <w:t>a</w:t>
      </w:r>
      <w:r w:rsidRPr="00B45606">
        <w:t xml:space="preserve"> standard literal rendering</w:t>
      </w:r>
      <w:r w:rsidR="00C45729" w:rsidRPr="00B45606">
        <w:t xml:space="preserve"> </w:t>
      </w:r>
      <w:r w:rsidRPr="00B45606">
        <w:t xml:space="preserve">of </w:t>
      </w:r>
      <w:r w:rsidR="00C845FA">
        <w:t>all</w:t>
      </w:r>
      <w:r w:rsidR="00C45729" w:rsidRPr="00B45606">
        <w:t xml:space="preserve"> </w:t>
      </w:r>
      <w:r w:rsidRPr="00B45606">
        <w:t>Hebrew terms applied to persons</w:t>
      </w:r>
      <w:r w:rsidR="00C845FA">
        <w:t xml:space="preserve">—including, </w:t>
      </w:r>
      <w:r w:rsidRPr="00B45606">
        <w:t xml:space="preserve">e.g., </w:t>
      </w:r>
      <w:r w:rsidRPr="00B45606">
        <w:rPr>
          <w:i/>
          <w:iCs/>
        </w:rPr>
        <w:t>father</w:t>
      </w:r>
      <w:r w:rsidRPr="00B45606">
        <w:t xml:space="preserve">, </w:t>
      </w:r>
      <w:r w:rsidRPr="00B45606">
        <w:rPr>
          <w:i/>
          <w:iCs/>
        </w:rPr>
        <w:t>brother</w:t>
      </w:r>
      <w:r w:rsidRPr="00B45606">
        <w:t xml:space="preserve">, </w:t>
      </w:r>
      <w:r w:rsidRPr="00B45606">
        <w:rPr>
          <w:i/>
          <w:iCs/>
        </w:rPr>
        <w:t>man, he</w:t>
      </w:r>
      <w:r w:rsidR="00DE3909">
        <w:t>. In this way, the resulting</w:t>
      </w:r>
      <w:r w:rsidRPr="00B45606">
        <w:t xml:space="preserve"> translation often come</w:t>
      </w:r>
      <w:r w:rsidR="00C45729" w:rsidRPr="00B45606">
        <w:t>s</w:t>
      </w:r>
      <w:r w:rsidRPr="00B45606">
        <w:t xml:space="preserve"> across as</w:t>
      </w:r>
      <w:r w:rsidRPr="00B45606">
        <w:rPr>
          <w:i/>
          <w:iCs/>
        </w:rPr>
        <w:t xml:space="preserve"> more male-oriented </w:t>
      </w:r>
      <w:r w:rsidRPr="00B45606">
        <w:t>than the</w:t>
      </w:r>
      <w:r w:rsidR="00A22213" w:rsidRPr="00B45606">
        <w:t xml:space="preserve"> wording in the</w:t>
      </w:r>
      <w:r w:rsidRPr="00B45606">
        <w:t xml:space="preserve"> original language.</w:t>
      </w:r>
    </w:p>
  </w:footnote>
  <w:footnote w:id="3">
    <w:p w14:paraId="64AEDD1C" w14:textId="39F2A6D9" w:rsidR="008B185B" w:rsidRPr="00B45606" w:rsidRDefault="008B185B" w:rsidP="008B185B">
      <w:pPr>
        <w:pStyle w:val="FootnoteText"/>
      </w:pPr>
      <w:r w:rsidRPr="001C440A">
        <w:rPr>
          <w:rStyle w:val="FootnoteReference"/>
        </w:rPr>
        <w:footnoteRef/>
      </w:r>
      <w:r w:rsidRPr="001C440A">
        <w:t xml:space="preserve"> </w:t>
      </w:r>
      <w:r>
        <w:rPr>
          <w:szCs w:val="24"/>
        </w:rPr>
        <w:t xml:space="preserve">Here </w:t>
      </w:r>
      <w:r w:rsidR="00B45606">
        <w:rPr>
          <w:szCs w:val="24"/>
        </w:rPr>
        <w:t>“</w:t>
      </w:r>
      <w:r>
        <w:rPr>
          <w:szCs w:val="24"/>
        </w:rPr>
        <w:t>children</w:t>
      </w:r>
      <w:r w:rsidR="00B45606">
        <w:rPr>
          <w:szCs w:val="24"/>
        </w:rPr>
        <w:t>”</w:t>
      </w:r>
      <w:r>
        <w:rPr>
          <w:szCs w:val="24"/>
        </w:rPr>
        <w:t xml:space="preserve"> renders </w:t>
      </w:r>
      <w:r w:rsidRPr="008B185B">
        <w:rPr>
          <w:rFonts w:asciiTheme="majorBidi" w:hAnsi="SBL BibLit" w:cs="SBL BibLit"/>
          <w:color w:val="000000"/>
          <w:szCs w:val="22"/>
          <w:rtl/>
        </w:rPr>
        <w:t>יְלָדִים</w:t>
      </w:r>
      <w:r w:rsidRPr="00B45606">
        <w:rPr>
          <w:rFonts w:asciiTheme="majorBidi" w:hAnsiTheme="majorBidi" w:cstheme="majorBidi"/>
          <w:color w:val="000000"/>
          <w:szCs w:val="22"/>
        </w:rPr>
        <w:t xml:space="preserve"> </w:t>
      </w:r>
      <w:proofErr w:type="spellStart"/>
      <w:r w:rsidRPr="00B45606">
        <w:rPr>
          <w:rFonts w:asciiTheme="majorBidi" w:hAnsiTheme="majorBidi" w:cstheme="majorBidi"/>
          <w:i/>
          <w:color w:val="000000"/>
          <w:szCs w:val="22"/>
        </w:rPr>
        <w:t>yeladim</w:t>
      </w:r>
      <w:proofErr w:type="spellEnd"/>
      <w:r w:rsidR="00A03A70">
        <w:rPr>
          <w:rFonts w:asciiTheme="majorBidi" w:hAnsiTheme="majorBidi" w:cstheme="majorBidi"/>
          <w:color w:val="000000"/>
          <w:szCs w:val="22"/>
        </w:rPr>
        <w:t>,</w:t>
      </w:r>
      <w:r w:rsidRPr="00B45606">
        <w:rPr>
          <w:rFonts w:asciiTheme="majorBidi" w:hAnsiTheme="majorBidi" w:cstheme="majorBidi"/>
          <w:color w:val="000000"/>
          <w:szCs w:val="22"/>
        </w:rPr>
        <w:t xml:space="preserve"> lit</w:t>
      </w:r>
      <w:r w:rsidR="00A03A70">
        <w:rPr>
          <w:rFonts w:asciiTheme="majorBidi" w:hAnsiTheme="majorBidi" w:cstheme="majorBidi"/>
          <w:color w:val="000000"/>
          <w:szCs w:val="22"/>
        </w:rPr>
        <w:t>erally</w:t>
      </w:r>
      <w:r w:rsidRPr="00B45606">
        <w:rPr>
          <w:rFonts w:asciiTheme="majorBidi" w:hAnsiTheme="majorBidi" w:cstheme="majorBidi"/>
          <w:color w:val="000000"/>
          <w:szCs w:val="22"/>
        </w:rPr>
        <w:t xml:space="preserve"> </w:t>
      </w:r>
      <w:r w:rsidR="00B45606" w:rsidRPr="00B45606">
        <w:rPr>
          <w:rFonts w:asciiTheme="majorBidi" w:hAnsiTheme="majorBidi" w:cstheme="majorBidi"/>
          <w:color w:val="000000"/>
          <w:szCs w:val="22"/>
        </w:rPr>
        <w:t>“</w:t>
      </w:r>
      <w:r w:rsidRPr="00B45606">
        <w:rPr>
          <w:rFonts w:asciiTheme="majorBidi" w:hAnsiTheme="majorBidi" w:cstheme="majorBidi"/>
          <w:color w:val="000000"/>
          <w:szCs w:val="22"/>
        </w:rPr>
        <w:t>those who have been born</w:t>
      </w:r>
      <w:r w:rsidR="000E2D74" w:rsidRPr="00B45606">
        <w:rPr>
          <w:rFonts w:asciiTheme="majorBidi" w:hAnsiTheme="majorBidi" w:cstheme="majorBidi"/>
          <w:color w:val="000000"/>
          <w:szCs w:val="22"/>
        </w:rPr>
        <w:t>.”</w:t>
      </w:r>
    </w:p>
  </w:footnote>
  <w:footnote w:id="4">
    <w:p w14:paraId="3363196D" w14:textId="66A52E2C" w:rsidR="00FD7D7A" w:rsidRDefault="00FD7D7A">
      <w:pPr>
        <w:pStyle w:val="FootnoteText"/>
      </w:pPr>
      <w:r>
        <w:rPr>
          <w:rStyle w:val="FootnoteReference"/>
        </w:rPr>
        <w:footnoteRef/>
      </w:r>
      <w:r>
        <w:t xml:space="preserve"> Here </w:t>
      </w:r>
      <w:r w:rsidR="00B45606">
        <w:t>“</w:t>
      </w:r>
      <w:r>
        <w:t>community</w:t>
      </w:r>
      <w:r w:rsidR="00B45606">
        <w:t>”</w:t>
      </w:r>
      <w:r>
        <w:t xml:space="preserve"> renders </w:t>
      </w:r>
      <w:r w:rsidRPr="00FD7D7A">
        <w:rPr>
          <w:rFonts w:asciiTheme="majorBidi" w:hAnsi="SBL BibLit" w:cs="SBL BibLit"/>
          <w:i/>
          <w:color w:val="000000"/>
          <w:sz w:val="28"/>
          <w:szCs w:val="22"/>
          <w:rtl/>
        </w:rPr>
        <w:t>עֵדָה</w:t>
      </w:r>
      <w:r w:rsidRPr="00B45606">
        <w:rPr>
          <w:rFonts w:asciiTheme="majorBidi" w:hAnsiTheme="majorBidi" w:cstheme="majorBidi"/>
          <w:iCs/>
          <w:color w:val="000000"/>
          <w:sz w:val="28"/>
          <w:szCs w:val="22"/>
        </w:rPr>
        <w:t xml:space="preserve"> </w:t>
      </w:r>
      <w:r w:rsidRPr="00B45606">
        <w:rPr>
          <w:rFonts w:asciiTheme="majorBidi" w:hAnsiTheme="majorBidi" w:cstheme="majorBidi"/>
          <w:i/>
          <w:color w:val="000000"/>
        </w:rPr>
        <w:t>‘</w:t>
      </w:r>
      <w:proofErr w:type="spellStart"/>
      <w:r w:rsidRPr="00B45606">
        <w:rPr>
          <w:rFonts w:asciiTheme="majorBidi" w:hAnsiTheme="majorBidi" w:cstheme="majorBidi"/>
          <w:i/>
          <w:color w:val="000000"/>
        </w:rPr>
        <w:t>edah</w:t>
      </w:r>
      <w:proofErr w:type="spellEnd"/>
      <w:r w:rsidR="002065AF" w:rsidRPr="00B45606">
        <w:rPr>
          <w:rFonts w:asciiTheme="majorBidi" w:hAnsiTheme="majorBidi" w:cstheme="majorBidi"/>
          <w:iCs/>
          <w:color w:val="000000"/>
        </w:rPr>
        <w:t>,</w:t>
      </w:r>
      <w:r w:rsidR="002065AF">
        <w:rPr>
          <w:rFonts w:asciiTheme="majorBidi" w:hAnsiTheme="majorBidi" w:cstheme="majorBidi"/>
          <w:iCs/>
          <w:color w:val="000000"/>
        </w:rPr>
        <w:t xml:space="preserve"> a label that does not constrain the gender of its referent.</w:t>
      </w:r>
    </w:p>
  </w:footnote>
  <w:footnote w:id="5">
    <w:p w14:paraId="44057AB8" w14:textId="3B252136" w:rsidR="00AB7CC4" w:rsidRPr="00B45606" w:rsidRDefault="00AB7CC4" w:rsidP="00AB7CC4">
      <w:pPr>
        <w:pStyle w:val="FootnoteText"/>
      </w:pPr>
      <w:r>
        <w:rPr>
          <w:rStyle w:val="FootnoteReference"/>
        </w:rPr>
        <w:footnoteRef/>
      </w:r>
      <w:r>
        <w:t xml:space="preserve"> </w:t>
      </w:r>
      <w:r w:rsidR="00305723">
        <w:rPr>
          <w:rFonts w:asciiTheme="majorBidi" w:hAnsiTheme="majorBidi" w:cstheme="majorBidi"/>
          <w:color w:val="000000"/>
          <w:szCs w:val="24"/>
        </w:rPr>
        <w:t>Some</w:t>
      </w:r>
      <w:r w:rsidRPr="00B45606">
        <w:rPr>
          <w:rFonts w:asciiTheme="majorBidi" w:hAnsiTheme="majorBidi" w:cstheme="majorBidi"/>
          <w:color w:val="000000"/>
          <w:szCs w:val="24"/>
        </w:rPr>
        <w:t xml:space="preserve"> reader</w:t>
      </w:r>
      <w:r w:rsidR="00F469FF" w:rsidRPr="00B45606">
        <w:rPr>
          <w:rFonts w:asciiTheme="majorBidi" w:hAnsiTheme="majorBidi" w:cstheme="majorBidi"/>
          <w:color w:val="000000"/>
          <w:szCs w:val="24"/>
        </w:rPr>
        <w:t>s</w:t>
      </w:r>
      <w:r w:rsidR="005E145B" w:rsidRPr="00B45606">
        <w:rPr>
          <w:rFonts w:asciiTheme="majorBidi" w:hAnsiTheme="majorBidi" w:cstheme="majorBidi"/>
          <w:color w:val="000000"/>
          <w:szCs w:val="24"/>
        </w:rPr>
        <w:t xml:space="preserve"> of a literal translation</w:t>
      </w:r>
      <w:r w:rsidR="00305723">
        <w:rPr>
          <w:rFonts w:asciiTheme="majorBidi" w:hAnsiTheme="majorBidi" w:cstheme="majorBidi"/>
          <w:color w:val="000000"/>
          <w:szCs w:val="24"/>
        </w:rPr>
        <w:t xml:space="preserve"> may</w:t>
      </w:r>
      <w:r w:rsidRPr="00B45606">
        <w:rPr>
          <w:rFonts w:asciiTheme="majorBidi" w:hAnsiTheme="majorBidi" w:cstheme="majorBidi"/>
          <w:color w:val="000000"/>
          <w:szCs w:val="24"/>
        </w:rPr>
        <w:t xml:space="preserve"> infer that the </w:t>
      </w:r>
      <w:r w:rsidR="009A3849" w:rsidRPr="00B45606">
        <w:rPr>
          <w:rFonts w:asciiTheme="majorBidi" w:hAnsiTheme="majorBidi" w:cstheme="majorBidi"/>
          <w:color w:val="000000"/>
          <w:szCs w:val="24"/>
        </w:rPr>
        <w:t xml:space="preserve">text’s composer(s) did not count </w:t>
      </w:r>
      <w:r w:rsidRPr="00B45606">
        <w:rPr>
          <w:rFonts w:asciiTheme="majorBidi" w:hAnsiTheme="majorBidi" w:cstheme="majorBidi"/>
          <w:color w:val="000000"/>
          <w:szCs w:val="24"/>
        </w:rPr>
        <w:t>women as part of “the whole</w:t>
      </w:r>
      <w:r w:rsidR="005E145B" w:rsidRPr="00B45606">
        <w:rPr>
          <w:rFonts w:asciiTheme="majorBidi" w:hAnsiTheme="majorBidi" w:cstheme="majorBidi"/>
          <w:color w:val="000000"/>
          <w:szCs w:val="24"/>
        </w:rPr>
        <w:t xml:space="preserve"> Israelite</w:t>
      </w:r>
      <w:r w:rsidRPr="00B45606">
        <w:rPr>
          <w:rFonts w:asciiTheme="majorBidi" w:hAnsiTheme="majorBidi" w:cstheme="majorBidi"/>
          <w:color w:val="000000"/>
          <w:szCs w:val="24"/>
        </w:rPr>
        <w:t xml:space="preserve"> community.”</w:t>
      </w:r>
      <w:r w:rsidR="005E145B">
        <w:rPr>
          <w:rFonts w:asciiTheme="majorBidi" w:hAnsiTheme="majorBidi" w:cstheme="majorBidi"/>
          <w:color w:val="000000"/>
          <w:szCs w:val="24"/>
        </w:rPr>
        <w:t xml:space="preserve"> However, that </w:t>
      </w:r>
      <w:r w:rsidR="005C737E">
        <w:rPr>
          <w:rFonts w:asciiTheme="majorBidi" w:hAnsiTheme="majorBidi" w:cstheme="majorBidi"/>
          <w:color w:val="000000"/>
          <w:szCs w:val="24"/>
        </w:rPr>
        <w:t>conclusion</w:t>
      </w:r>
      <w:r w:rsidR="006D7E70">
        <w:rPr>
          <w:rFonts w:asciiTheme="majorBidi" w:hAnsiTheme="majorBidi" w:cstheme="majorBidi"/>
          <w:color w:val="000000"/>
          <w:szCs w:val="24"/>
        </w:rPr>
        <w:t xml:space="preserve"> is</w:t>
      </w:r>
      <w:r w:rsidR="005E145B">
        <w:rPr>
          <w:rFonts w:asciiTheme="majorBidi" w:hAnsiTheme="majorBidi" w:cstheme="majorBidi"/>
          <w:color w:val="000000"/>
          <w:szCs w:val="24"/>
        </w:rPr>
        <w:t xml:space="preserve"> not tenable, f</w:t>
      </w:r>
      <w:r w:rsidR="005E145B" w:rsidRPr="00B45606">
        <w:rPr>
          <w:rFonts w:asciiTheme="majorBidi" w:hAnsiTheme="majorBidi" w:cstheme="majorBidi"/>
          <w:color w:val="000000"/>
          <w:szCs w:val="24"/>
        </w:rPr>
        <w:t xml:space="preserve">or </w:t>
      </w:r>
      <w:r w:rsidR="006D7E70" w:rsidRPr="00B45606">
        <w:rPr>
          <w:rFonts w:asciiTheme="majorBidi" w:hAnsiTheme="majorBidi" w:cstheme="majorBidi"/>
          <w:color w:val="000000"/>
          <w:szCs w:val="24"/>
        </w:rPr>
        <w:t>it</w:t>
      </w:r>
      <w:r w:rsidR="005E145B" w:rsidRPr="00B45606">
        <w:rPr>
          <w:rFonts w:asciiTheme="majorBidi" w:hAnsiTheme="majorBidi" w:cstheme="majorBidi"/>
          <w:color w:val="000000"/>
          <w:szCs w:val="24"/>
        </w:rPr>
        <w:t xml:space="preserve"> would </w:t>
      </w:r>
      <w:r w:rsidR="00043B67">
        <w:rPr>
          <w:rFonts w:asciiTheme="majorBidi" w:hAnsiTheme="majorBidi" w:cstheme="majorBidi"/>
          <w:color w:val="000000"/>
          <w:szCs w:val="24"/>
        </w:rPr>
        <w:t xml:space="preserve">also have </w:t>
      </w:r>
      <w:r w:rsidR="00944B49" w:rsidRPr="00B45606">
        <w:rPr>
          <w:rFonts w:asciiTheme="majorBidi" w:hAnsiTheme="majorBidi" w:cstheme="majorBidi"/>
          <w:color w:val="000000"/>
          <w:szCs w:val="24"/>
        </w:rPr>
        <w:t>mean</w:t>
      </w:r>
      <w:r w:rsidR="00043B67">
        <w:rPr>
          <w:rFonts w:asciiTheme="majorBidi" w:hAnsiTheme="majorBidi" w:cstheme="majorBidi"/>
          <w:color w:val="000000"/>
          <w:szCs w:val="24"/>
        </w:rPr>
        <w:t>t</w:t>
      </w:r>
      <w:r w:rsidR="005E145B" w:rsidRPr="00B45606">
        <w:rPr>
          <w:rFonts w:asciiTheme="majorBidi" w:hAnsiTheme="majorBidi" w:cstheme="majorBidi"/>
          <w:color w:val="000000"/>
          <w:szCs w:val="24"/>
        </w:rPr>
        <w:t xml:space="preserve"> exclud</w:t>
      </w:r>
      <w:r w:rsidR="00944B49" w:rsidRPr="00B45606">
        <w:rPr>
          <w:rFonts w:asciiTheme="majorBidi" w:hAnsiTheme="majorBidi" w:cstheme="majorBidi"/>
          <w:color w:val="000000"/>
          <w:szCs w:val="24"/>
        </w:rPr>
        <w:t>ing</w:t>
      </w:r>
      <w:r w:rsidR="005E145B" w:rsidRPr="00B45606">
        <w:rPr>
          <w:rFonts w:asciiTheme="majorBidi" w:hAnsiTheme="majorBidi" w:cstheme="majorBidi"/>
          <w:color w:val="000000"/>
          <w:szCs w:val="24"/>
        </w:rPr>
        <w:t xml:space="preserve"> </w:t>
      </w:r>
      <w:r w:rsidR="005C737E" w:rsidRPr="00B45606">
        <w:rPr>
          <w:rFonts w:asciiTheme="majorBidi" w:hAnsiTheme="majorBidi" w:cstheme="majorBidi"/>
          <w:color w:val="000000"/>
          <w:szCs w:val="24"/>
        </w:rPr>
        <w:t xml:space="preserve">the </w:t>
      </w:r>
      <w:r w:rsidR="005E145B" w:rsidRPr="00B45606">
        <w:rPr>
          <w:rFonts w:asciiTheme="majorBidi" w:hAnsiTheme="majorBidi" w:cstheme="majorBidi"/>
          <w:color w:val="000000"/>
          <w:szCs w:val="24"/>
        </w:rPr>
        <w:t>noncombatant men (e.g., elders and Levites) from that same community</w:t>
      </w:r>
      <w:r w:rsidR="006D7E70" w:rsidRPr="00B45606">
        <w:rPr>
          <w:rFonts w:asciiTheme="majorBidi" w:hAnsiTheme="majorBidi" w:cstheme="majorBidi"/>
          <w:color w:val="000000"/>
          <w:szCs w:val="24"/>
        </w:rPr>
        <w:t>, which is not plausible</w:t>
      </w:r>
      <w:r w:rsidR="005E145B" w:rsidRPr="00B45606">
        <w:rPr>
          <w:rFonts w:asciiTheme="majorBidi" w:hAnsiTheme="majorBidi" w:cstheme="majorBidi"/>
          <w:color w:val="000000"/>
          <w:szCs w:val="24"/>
        </w:rPr>
        <w:t>.</w:t>
      </w:r>
    </w:p>
  </w:footnote>
  <w:footnote w:id="6">
    <w:p w14:paraId="078D21B7" w14:textId="3C094D04" w:rsidR="00457776" w:rsidRDefault="00457776">
      <w:pPr>
        <w:pStyle w:val="FootnoteText"/>
      </w:pPr>
      <w:r>
        <w:rPr>
          <w:rStyle w:val="FootnoteReference"/>
        </w:rPr>
        <w:footnoteRef/>
      </w:r>
      <w:r>
        <w:t xml:space="preserve"> A different tack was taken in CJPS</w:t>
      </w:r>
      <w:r w:rsidR="00016F6E">
        <w:t xml:space="preserve"> (2006)</w:t>
      </w:r>
      <w:r>
        <w:t>, which rendered</w:t>
      </w:r>
      <w:r w:rsidR="00272820">
        <w:t xml:space="preserve"> v</w:t>
      </w:r>
      <w:r w:rsidR="000C60EC">
        <w:t>erse</w:t>
      </w:r>
      <w:r w:rsidR="00272820">
        <w:t xml:space="preserve"> 1</w:t>
      </w:r>
      <w:r>
        <w:t xml:space="preserve"> as “</w:t>
      </w:r>
      <w:r w:rsidRPr="00B45606">
        <w:rPr>
          <w:rFonts w:asciiTheme="majorBidi" w:hAnsiTheme="majorBidi" w:cstheme="majorBidi"/>
          <w:color w:val="000000"/>
          <w:szCs w:val="22"/>
        </w:rPr>
        <w:t>T</w:t>
      </w:r>
      <w:r w:rsidRPr="00FD7D7A">
        <w:rPr>
          <w:rFonts w:asciiTheme="majorBidi" w:hAnsiTheme="majorBidi" w:cstheme="majorBidi"/>
          <w:color w:val="000000"/>
          <w:szCs w:val="22"/>
        </w:rPr>
        <w:t xml:space="preserve">ake a census of the whole Israelite </w:t>
      </w:r>
      <w:r>
        <w:rPr>
          <w:rFonts w:asciiTheme="majorBidi" w:hAnsiTheme="majorBidi" w:cstheme="majorBidi"/>
          <w:color w:val="000000"/>
          <w:szCs w:val="22"/>
        </w:rPr>
        <w:t xml:space="preserve">company [of </w:t>
      </w:r>
      <w:proofErr w:type="gramStart"/>
      <w:r>
        <w:rPr>
          <w:rFonts w:asciiTheme="majorBidi" w:hAnsiTheme="majorBidi" w:cstheme="majorBidi"/>
          <w:color w:val="000000"/>
          <w:szCs w:val="22"/>
        </w:rPr>
        <w:t>fighters]…</w:t>
      </w:r>
      <w:proofErr w:type="gramEnd"/>
      <w:r>
        <w:rPr>
          <w:rFonts w:asciiTheme="majorBidi" w:hAnsiTheme="majorBidi" w:cstheme="majorBidi"/>
          <w:color w:val="000000"/>
          <w:szCs w:val="22"/>
        </w:rPr>
        <w:t xml:space="preserve">.” That approach </w:t>
      </w:r>
      <w:r w:rsidR="006D2000">
        <w:rPr>
          <w:rFonts w:asciiTheme="majorBidi" w:hAnsiTheme="majorBidi" w:cstheme="majorBidi"/>
          <w:color w:val="000000"/>
          <w:szCs w:val="22"/>
        </w:rPr>
        <w:t>collapsed</w:t>
      </w:r>
      <w:r>
        <w:rPr>
          <w:rFonts w:asciiTheme="majorBidi" w:hAnsiTheme="majorBidi" w:cstheme="majorBidi"/>
          <w:color w:val="000000"/>
          <w:szCs w:val="22"/>
        </w:rPr>
        <w:t xml:space="preserve"> the </w:t>
      </w:r>
      <w:r w:rsidR="00272820">
        <w:rPr>
          <w:rFonts w:asciiTheme="majorBidi" w:hAnsiTheme="majorBidi" w:cstheme="majorBidi"/>
          <w:color w:val="000000"/>
          <w:szCs w:val="22"/>
        </w:rPr>
        <w:t>Hebrew metonym</w:t>
      </w:r>
      <w:r w:rsidR="006D2000">
        <w:rPr>
          <w:rFonts w:asciiTheme="majorBidi" w:hAnsiTheme="majorBidi" w:cstheme="majorBidi"/>
          <w:color w:val="000000"/>
          <w:szCs w:val="22"/>
        </w:rPr>
        <w:t xml:space="preserve"> and</w:t>
      </w:r>
      <w:r w:rsidR="00272820">
        <w:rPr>
          <w:rFonts w:asciiTheme="majorBidi" w:hAnsiTheme="majorBidi" w:cstheme="majorBidi"/>
          <w:color w:val="000000"/>
          <w:szCs w:val="22"/>
        </w:rPr>
        <w:t xml:space="preserve"> </w:t>
      </w:r>
      <w:r w:rsidR="006D2000">
        <w:rPr>
          <w:rFonts w:asciiTheme="majorBidi" w:hAnsiTheme="majorBidi" w:cstheme="majorBidi"/>
          <w:color w:val="000000"/>
          <w:szCs w:val="22"/>
        </w:rPr>
        <w:t>usually</w:t>
      </w:r>
      <w:r w:rsidR="006A4701">
        <w:rPr>
          <w:rFonts w:asciiTheme="majorBidi" w:hAnsiTheme="majorBidi" w:cstheme="majorBidi"/>
          <w:color w:val="000000"/>
          <w:szCs w:val="22"/>
        </w:rPr>
        <w:t xml:space="preserve"> </w:t>
      </w:r>
      <w:r w:rsidR="00713BA6">
        <w:rPr>
          <w:rFonts w:asciiTheme="majorBidi" w:hAnsiTheme="majorBidi" w:cstheme="majorBidi"/>
          <w:color w:val="000000"/>
          <w:szCs w:val="22"/>
        </w:rPr>
        <w:t>downplay</w:t>
      </w:r>
      <w:r w:rsidR="006D2000">
        <w:rPr>
          <w:rFonts w:asciiTheme="majorBidi" w:hAnsiTheme="majorBidi" w:cstheme="majorBidi"/>
          <w:color w:val="000000"/>
          <w:szCs w:val="22"/>
        </w:rPr>
        <w:t>ed</w:t>
      </w:r>
      <w:r w:rsidR="00272820">
        <w:rPr>
          <w:rFonts w:asciiTheme="majorBidi" w:hAnsiTheme="majorBidi" w:cstheme="majorBidi"/>
          <w:color w:val="000000"/>
          <w:szCs w:val="22"/>
        </w:rPr>
        <w:t xml:space="preserve"> the representational </w:t>
      </w:r>
      <w:r w:rsidR="00713BA6">
        <w:rPr>
          <w:rFonts w:asciiTheme="majorBidi" w:hAnsiTheme="majorBidi" w:cstheme="majorBidi"/>
          <w:color w:val="000000"/>
          <w:szCs w:val="22"/>
        </w:rPr>
        <w:t>import</w:t>
      </w:r>
      <w:r w:rsidR="00272820">
        <w:rPr>
          <w:rFonts w:asciiTheme="majorBidi" w:hAnsiTheme="majorBidi" w:cstheme="majorBidi"/>
          <w:color w:val="000000"/>
          <w:szCs w:val="22"/>
        </w:rPr>
        <w:t xml:space="preserve"> of the speaker’s label.</w:t>
      </w:r>
    </w:p>
  </w:footnote>
  <w:footnote w:id="7">
    <w:p w14:paraId="26B4D720" w14:textId="7FFA8EAE" w:rsidR="00ED5385" w:rsidRPr="00ED5385" w:rsidRDefault="00ED5385">
      <w:pPr>
        <w:pStyle w:val="FootnoteText"/>
      </w:pPr>
      <w:r>
        <w:rPr>
          <w:rStyle w:val="FootnoteReference"/>
        </w:rPr>
        <w:footnoteRef/>
      </w:r>
      <w:r>
        <w:t xml:space="preserve"> </w:t>
      </w:r>
      <w:r w:rsidR="00D75E6E">
        <w:t>Examples: “</w:t>
      </w:r>
      <w:r w:rsidR="00D75E6E" w:rsidRPr="00E24777">
        <w:rPr>
          <w:rFonts w:asciiTheme="majorBidi" w:hAnsiTheme="majorBidi" w:cstheme="majorBidi"/>
          <w:color w:val="000000" w:themeColor="text1"/>
          <w:spacing w:val="3"/>
          <w:bdr w:val="none" w:sz="0" w:space="0" w:color="auto" w:frame="1"/>
        </w:rPr>
        <w:t>No one has to go if</w:t>
      </w:r>
      <w:r w:rsidR="0018777D">
        <w:rPr>
          <w:rFonts w:asciiTheme="majorBidi" w:hAnsiTheme="majorBidi" w:cstheme="majorBidi"/>
          <w:color w:val="000000" w:themeColor="text1"/>
          <w:spacing w:val="3"/>
          <w:bdr w:val="none" w:sz="0" w:space="0" w:color="auto" w:frame="1"/>
        </w:rPr>
        <w:t xml:space="preserve"> </w:t>
      </w:r>
      <w:r w:rsidR="00D75E6E" w:rsidRPr="00E24777">
        <w:rPr>
          <w:rFonts w:asciiTheme="majorBidi" w:hAnsiTheme="majorBidi" w:cstheme="majorBidi"/>
          <w:i/>
          <w:iCs/>
          <w:color w:val="000000" w:themeColor="text1"/>
          <w:spacing w:val="3"/>
          <w:bdr w:val="none" w:sz="0" w:space="0" w:color="auto" w:frame="1"/>
        </w:rPr>
        <w:t>they</w:t>
      </w:r>
      <w:r w:rsidR="0018777D">
        <w:rPr>
          <w:rFonts w:asciiTheme="majorBidi" w:hAnsiTheme="majorBidi" w:cstheme="majorBidi"/>
          <w:color w:val="000000" w:themeColor="text1"/>
          <w:spacing w:val="3"/>
          <w:bdr w:val="none" w:sz="0" w:space="0" w:color="auto" w:frame="1"/>
        </w:rPr>
        <w:t xml:space="preserve"> </w:t>
      </w:r>
      <w:r w:rsidR="00D75E6E" w:rsidRPr="00E24777">
        <w:rPr>
          <w:rFonts w:asciiTheme="majorBidi" w:hAnsiTheme="majorBidi" w:cstheme="majorBidi"/>
          <w:color w:val="000000" w:themeColor="text1"/>
          <w:spacing w:val="3"/>
          <w:bdr w:val="none" w:sz="0" w:space="0" w:color="auto" w:frame="1"/>
        </w:rPr>
        <w:t>don</w:t>
      </w:r>
      <w:r w:rsidR="0018777D">
        <w:rPr>
          <w:rFonts w:asciiTheme="majorBidi" w:hAnsiTheme="majorBidi" w:cstheme="majorBidi"/>
          <w:color w:val="000000" w:themeColor="text1"/>
          <w:spacing w:val="3"/>
          <w:bdr w:val="none" w:sz="0" w:space="0" w:color="auto" w:frame="1"/>
        </w:rPr>
        <w:t>’</w:t>
      </w:r>
      <w:r w:rsidR="00D75E6E" w:rsidRPr="00E24777">
        <w:rPr>
          <w:rFonts w:asciiTheme="majorBidi" w:hAnsiTheme="majorBidi" w:cstheme="majorBidi"/>
          <w:color w:val="000000" w:themeColor="text1"/>
          <w:spacing w:val="3"/>
          <w:bdr w:val="none" w:sz="0" w:space="0" w:color="auto" w:frame="1"/>
        </w:rPr>
        <w:t>t want to</w:t>
      </w:r>
      <w:r w:rsidR="00D75E6E">
        <w:t>”; “</w:t>
      </w:r>
      <w:r w:rsidR="00D75E6E" w:rsidRPr="00E24777">
        <w:rPr>
          <w:rFonts w:asciiTheme="majorBidi" w:hAnsiTheme="majorBidi" w:cstheme="majorBidi"/>
          <w:color w:val="000000" w:themeColor="text1"/>
          <w:spacing w:val="3"/>
          <w:bdr w:val="none" w:sz="0" w:space="0" w:color="auto" w:frame="1"/>
        </w:rPr>
        <w:t>An employee can file a complaint if</w:t>
      </w:r>
      <w:r w:rsidR="0018777D">
        <w:rPr>
          <w:rFonts w:asciiTheme="majorBidi" w:hAnsiTheme="majorBidi" w:cstheme="majorBidi"/>
          <w:color w:val="000000" w:themeColor="text1"/>
          <w:spacing w:val="3"/>
          <w:bdr w:val="none" w:sz="0" w:space="0" w:color="auto" w:frame="1"/>
        </w:rPr>
        <w:t xml:space="preserve"> </w:t>
      </w:r>
      <w:r w:rsidR="00D75E6E" w:rsidRPr="00E24777">
        <w:rPr>
          <w:rFonts w:asciiTheme="majorBidi" w:hAnsiTheme="majorBidi" w:cstheme="majorBidi"/>
          <w:i/>
          <w:iCs/>
          <w:color w:val="000000" w:themeColor="text1"/>
          <w:spacing w:val="3"/>
          <w:bdr w:val="none" w:sz="0" w:space="0" w:color="auto" w:frame="1"/>
        </w:rPr>
        <w:t>they</w:t>
      </w:r>
      <w:r w:rsidR="0018777D">
        <w:rPr>
          <w:rFonts w:asciiTheme="majorBidi" w:hAnsiTheme="majorBidi" w:cstheme="majorBidi"/>
          <w:color w:val="000000" w:themeColor="text1"/>
          <w:spacing w:val="3"/>
          <w:bdr w:val="none" w:sz="0" w:space="0" w:color="auto" w:frame="1"/>
        </w:rPr>
        <w:t xml:space="preserve"> n</w:t>
      </w:r>
      <w:r w:rsidR="00D75E6E" w:rsidRPr="00E24777">
        <w:rPr>
          <w:rFonts w:asciiTheme="majorBidi" w:hAnsiTheme="majorBidi" w:cstheme="majorBidi"/>
          <w:color w:val="000000" w:themeColor="text1"/>
          <w:spacing w:val="3"/>
          <w:bdr w:val="none" w:sz="0" w:space="0" w:color="auto" w:frame="1"/>
        </w:rPr>
        <w:t>eed to.</w:t>
      </w:r>
      <w:r w:rsidR="00D75E6E">
        <w:t xml:space="preserve">” </w:t>
      </w:r>
      <w:r w:rsidR="00030721" w:rsidRPr="00B45606">
        <w:rPr>
          <w:rFonts w:asciiTheme="majorBidi" w:hAnsiTheme="majorBidi" w:cstheme="majorBidi"/>
          <w:color w:val="000000"/>
          <w:szCs w:val="24"/>
        </w:rPr>
        <w:t xml:space="preserve">Such usage </w:t>
      </w:r>
      <w:r w:rsidR="00E274FE">
        <w:rPr>
          <w:rFonts w:asciiTheme="majorBidi" w:hAnsiTheme="majorBidi" w:cstheme="majorBidi"/>
          <w:color w:val="000000"/>
          <w:szCs w:val="24"/>
        </w:rPr>
        <w:t>has been adopted as the</w:t>
      </w:r>
      <w:r w:rsidR="00030721" w:rsidRPr="00B45606">
        <w:rPr>
          <w:rFonts w:asciiTheme="majorBidi" w:hAnsiTheme="majorBidi" w:cstheme="majorBidi"/>
          <w:color w:val="000000"/>
          <w:szCs w:val="24"/>
        </w:rPr>
        <w:t xml:space="preserve"> </w:t>
      </w:r>
      <w:r w:rsidR="0018777D">
        <w:t>regular practice in</w:t>
      </w:r>
      <w:r w:rsidR="002C2E0D">
        <w:t xml:space="preserve"> </w:t>
      </w:r>
      <w:r w:rsidR="00030721">
        <w:t>recent</w:t>
      </w:r>
      <w:r w:rsidR="00E274FE">
        <w:t>ly</w:t>
      </w:r>
      <w:r w:rsidR="00030721">
        <w:t xml:space="preserve"> </w:t>
      </w:r>
      <w:r>
        <w:t xml:space="preserve">published </w:t>
      </w:r>
      <w:r w:rsidR="00E274FE">
        <w:t xml:space="preserve">editions </w:t>
      </w:r>
      <w:r>
        <w:t xml:space="preserve">of </w:t>
      </w:r>
      <w:r w:rsidR="00E274FE">
        <w:t xml:space="preserve">some </w:t>
      </w:r>
      <w:r>
        <w:t>Bible</w:t>
      </w:r>
      <w:r w:rsidR="00E274FE">
        <w:t xml:space="preserve"> translations,</w:t>
      </w:r>
      <w:r w:rsidR="0018777D">
        <w:t xml:space="preserve"> such as the</w:t>
      </w:r>
      <w:r>
        <w:t xml:space="preserve"> New International Version </w:t>
      </w:r>
      <w:r w:rsidR="0018777D">
        <w:t>(</w:t>
      </w:r>
      <w:r>
        <w:t>2011</w:t>
      </w:r>
      <w:r w:rsidR="0018777D">
        <w:t>)</w:t>
      </w:r>
      <w:r>
        <w:t>.</w:t>
      </w:r>
    </w:p>
  </w:footnote>
  <w:footnote w:id="8">
    <w:p w14:paraId="6B7EB35B" w14:textId="0480931C" w:rsidR="003A55E0" w:rsidRDefault="003A55E0">
      <w:pPr>
        <w:pStyle w:val="FootnoteText"/>
      </w:pPr>
      <w:r>
        <w:rPr>
          <w:rStyle w:val="FootnoteReference"/>
        </w:rPr>
        <w:footnoteRef/>
      </w:r>
      <w:r>
        <w:t xml:space="preserve"> On the </w:t>
      </w:r>
      <w:r w:rsidR="007F0F25">
        <w:t xml:space="preserve">conditions under which </w:t>
      </w:r>
      <w:r>
        <w:t xml:space="preserve">grammatically masculine </w:t>
      </w:r>
      <w:r w:rsidR="00E64816">
        <w:t>pronouns</w:t>
      </w:r>
      <w:r w:rsidR="007F0F25">
        <w:t xml:space="preserve"> </w:t>
      </w:r>
      <w:r w:rsidR="00E64816">
        <w:t>have</w:t>
      </w:r>
      <w:r w:rsidR="00E274FE">
        <w:t xml:space="preserve"> a</w:t>
      </w:r>
      <w:r w:rsidR="00E64816">
        <w:t xml:space="preserve"> </w:t>
      </w:r>
      <w:r w:rsidR="007F0F25">
        <w:t>gender-inclusive force</w:t>
      </w:r>
      <w:r>
        <w:t xml:space="preserve">, see below under </w:t>
      </w:r>
      <w:r w:rsidR="00E274FE">
        <w:t>“</w:t>
      </w:r>
      <w:r w:rsidRPr="003A55E0">
        <w:t>Referential Gender and Specificity</w:t>
      </w:r>
      <w:r>
        <w:t>.</w:t>
      </w:r>
      <w:r w:rsidR="00E274FE">
        <w:t>”</w:t>
      </w:r>
    </w:p>
  </w:footnote>
  <w:footnote w:id="9">
    <w:p w14:paraId="690D3022" w14:textId="24813629" w:rsidR="00FD3CDE" w:rsidRDefault="00FD3CDE">
      <w:pPr>
        <w:pStyle w:val="FootnoteText"/>
      </w:pPr>
      <w:r>
        <w:rPr>
          <w:rStyle w:val="FootnoteReference"/>
        </w:rPr>
        <w:footnoteRef/>
      </w:r>
      <w:r>
        <w:t xml:space="preserve"> </w:t>
      </w:r>
      <w:r w:rsidR="00311588">
        <w:rPr>
          <w:rFonts w:asciiTheme="majorBidi" w:hAnsiTheme="majorBidi" w:cstheme="majorBidi"/>
          <w:color w:val="000000"/>
        </w:rPr>
        <w:t>To a</w:t>
      </w:r>
      <w:r w:rsidRPr="00B45606">
        <w:rPr>
          <w:rFonts w:asciiTheme="majorBidi" w:hAnsiTheme="majorBidi" w:cstheme="majorBidi"/>
          <w:color w:val="000000"/>
        </w:rPr>
        <w:t xml:space="preserve">void </w:t>
      </w:r>
      <w:r w:rsidR="00F951A3">
        <w:rPr>
          <w:rFonts w:asciiTheme="majorBidi" w:hAnsiTheme="majorBidi" w:cstheme="majorBidi"/>
          <w:i/>
          <w:iCs/>
          <w:color w:val="000000"/>
        </w:rPr>
        <w:t>he/hi</w:t>
      </w:r>
      <w:r w:rsidR="00E274FE">
        <w:rPr>
          <w:rFonts w:asciiTheme="majorBidi" w:hAnsiTheme="majorBidi" w:cstheme="majorBidi"/>
          <w:i/>
          <w:iCs/>
          <w:color w:val="000000"/>
        </w:rPr>
        <w:t>m</w:t>
      </w:r>
      <w:r w:rsidR="00F951A3">
        <w:rPr>
          <w:rFonts w:asciiTheme="majorBidi" w:hAnsiTheme="majorBidi" w:cstheme="majorBidi"/>
          <w:i/>
          <w:iCs/>
          <w:color w:val="000000"/>
        </w:rPr>
        <w:t>/hi</w:t>
      </w:r>
      <w:r w:rsidR="00E274FE">
        <w:rPr>
          <w:rFonts w:asciiTheme="majorBidi" w:hAnsiTheme="majorBidi" w:cstheme="majorBidi"/>
          <w:i/>
          <w:iCs/>
          <w:color w:val="000000"/>
        </w:rPr>
        <w:t>s</w:t>
      </w:r>
      <w:r w:rsidR="00F951A3">
        <w:rPr>
          <w:rFonts w:asciiTheme="majorBidi" w:hAnsiTheme="majorBidi" w:cstheme="majorBidi"/>
          <w:i/>
          <w:iCs/>
          <w:color w:val="000000"/>
        </w:rPr>
        <w:t>/himself</w:t>
      </w:r>
      <w:r w:rsidRPr="00B45606">
        <w:rPr>
          <w:rFonts w:asciiTheme="majorBidi" w:hAnsiTheme="majorBidi" w:cstheme="majorBidi"/>
          <w:color w:val="000000"/>
        </w:rPr>
        <w:t xml:space="preserve"> in nonspecific reference</w:t>
      </w:r>
      <w:r w:rsidR="00311588">
        <w:rPr>
          <w:rFonts w:asciiTheme="majorBidi" w:hAnsiTheme="majorBidi" w:cstheme="majorBidi"/>
          <w:color w:val="000000"/>
        </w:rPr>
        <w:t>, RJPS</w:t>
      </w:r>
      <w:r w:rsidR="00F951A3">
        <w:rPr>
          <w:rFonts w:asciiTheme="majorBidi" w:hAnsiTheme="majorBidi" w:cstheme="majorBidi"/>
          <w:color w:val="000000"/>
        </w:rPr>
        <w:t xml:space="preserve"> </w:t>
      </w:r>
      <w:r w:rsidR="00040559">
        <w:rPr>
          <w:rFonts w:asciiTheme="majorBidi" w:hAnsiTheme="majorBidi" w:cstheme="majorBidi"/>
          <w:color w:val="000000"/>
        </w:rPr>
        <w:t xml:space="preserve">has </w:t>
      </w:r>
      <w:r w:rsidR="00311588">
        <w:rPr>
          <w:rFonts w:asciiTheme="majorBidi" w:hAnsiTheme="majorBidi" w:cstheme="majorBidi"/>
          <w:color w:val="000000"/>
        </w:rPr>
        <w:t>otherwise</w:t>
      </w:r>
      <w:r w:rsidR="00F951A3">
        <w:rPr>
          <w:rFonts w:asciiTheme="majorBidi" w:hAnsiTheme="majorBidi" w:cstheme="majorBidi"/>
          <w:color w:val="000000"/>
        </w:rPr>
        <w:t xml:space="preserve"> </w:t>
      </w:r>
      <w:r w:rsidR="00311588">
        <w:rPr>
          <w:rFonts w:asciiTheme="majorBidi" w:hAnsiTheme="majorBidi" w:cstheme="majorBidi"/>
          <w:color w:val="000000"/>
        </w:rPr>
        <w:t>employed</w:t>
      </w:r>
      <w:r w:rsidRPr="00B45606">
        <w:rPr>
          <w:rFonts w:asciiTheme="majorBidi" w:hAnsiTheme="majorBidi" w:cstheme="majorBidi"/>
          <w:color w:val="000000"/>
        </w:rPr>
        <w:t xml:space="preserve"> </w:t>
      </w:r>
      <w:r w:rsidR="00F951A3">
        <w:rPr>
          <w:rFonts w:asciiTheme="majorBidi" w:hAnsiTheme="majorBidi" w:cstheme="majorBidi"/>
          <w:color w:val="000000"/>
        </w:rPr>
        <w:t>well-known</w:t>
      </w:r>
      <w:r w:rsidR="00311588">
        <w:rPr>
          <w:rFonts w:asciiTheme="majorBidi" w:hAnsiTheme="majorBidi" w:cstheme="majorBidi"/>
          <w:color w:val="000000"/>
        </w:rPr>
        <w:t xml:space="preserve"> and</w:t>
      </w:r>
      <w:r w:rsidR="0034228D">
        <w:rPr>
          <w:rFonts w:asciiTheme="majorBidi" w:hAnsiTheme="majorBidi" w:cstheme="majorBidi"/>
          <w:color w:val="000000"/>
        </w:rPr>
        <w:t xml:space="preserve"> noncontroversial</w:t>
      </w:r>
      <w:r>
        <w:rPr>
          <w:rFonts w:asciiTheme="majorBidi" w:hAnsiTheme="majorBidi" w:cstheme="majorBidi"/>
          <w:color w:val="000000"/>
        </w:rPr>
        <w:t xml:space="preserve"> </w:t>
      </w:r>
      <w:r w:rsidR="00E274FE">
        <w:rPr>
          <w:rFonts w:asciiTheme="majorBidi" w:hAnsiTheme="majorBidi" w:cstheme="majorBidi"/>
          <w:color w:val="000000"/>
        </w:rPr>
        <w:t>measures</w:t>
      </w:r>
      <w:r>
        <w:rPr>
          <w:rFonts w:asciiTheme="majorBidi" w:hAnsiTheme="majorBidi" w:cstheme="majorBidi"/>
          <w:color w:val="000000"/>
        </w:rPr>
        <w:t xml:space="preserve"> for gender-inclusive communication.</w:t>
      </w:r>
    </w:p>
  </w:footnote>
  <w:footnote w:id="10">
    <w:p w14:paraId="43AEA97C" w14:textId="23B8E22F" w:rsidR="00127CE3" w:rsidRDefault="00127CE3">
      <w:pPr>
        <w:pStyle w:val="FootnoteText"/>
      </w:pPr>
      <w:r>
        <w:rPr>
          <w:rStyle w:val="FootnoteReference"/>
        </w:rPr>
        <w:footnoteRef/>
      </w:r>
      <w:r>
        <w:t xml:space="preserve"> </w:t>
      </w:r>
      <w:r w:rsidRPr="00C03A20">
        <w:t xml:space="preserve">The evidence for </w:t>
      </w:r>
      <w:r w:rsidRPr="00C03A20">
        <w:rPr>
          <w:i/>
          <w:iCs/>
        </w:rPr>
        <w:t>man</w:t>
      </w:r>
      <w:r w:rsidRPr="00C03A20">
        <w:t xml:space="preserve"> as a situating noun is too extensive to detail here, beyond</w:t>
      </w:r>
      <w:r w:rsidR="003F1717">
        <w:t xml:space="preserve"> the following</w:t>
      </w:r>
      <w:r w:rsidRPr="00C03A20">
        <w:t xml:space="preserve"> list</w:t>
      </w:r>
      <w:r w:rsidR="003F1717">
        <w:t xml:space="preserve"> of</w:t>
      </w:r>
      <w:r>
        <w:t xml:space="preserve"> </w:t>
      </w:r>
      <w:r w:rsidR="003F1717">
        <w:t>five</w:t>
      </w:r>
      <w:r>
        <w:t xml:space="preserve"> types of</w:t>
      </w:r>
      <w:r w:rsidRPr="00C03A20">
        <w:t xml:space="preserve"> ster</w:t>
      </w:r>
      <w:r>
        <w:t>e</w:t>
      </w:r>
      <w:r w:rsidRPr="00C03A20">
        <w:t xml:space="preserve">otypical </w:t>
      </w:r>
      <w:r w:rsidR="004B64AF">
        <w:t>usage</w:t>
      </w:r>
      <w:r w:rsidRPr="00C03A20">
        <w:t xml:space="preserve">. </w:t>
      </w:r>
      <w:r w:rsidR="004B64AF">
        <w:t xml:space="preserve">(1) </w:t>
      </w:r>
      <w:r>
        <w:t>Fixed</w:t>
      </w:r>
      <w:r w:rsidRPr="00C03A20">
        <w:t xml:space="preserve"> expressions that employ </w:t>
      </w:r>
      <w:r w:rsidRPr="00C03A20">
        <w:rPr>
          <w:i/>
          <w:iCs/>
        </w:rPr>
        <w:t>man</w:t>
      </w:r>
      <w:r>
        <w:t xml:space="preserve"> tend to succinctly </w:t>
      </w:r>
      <w:r w:rsidRPr="00C03A20">
        <w:t>evok</w:t>
      </w:r>
      <w:r>
        <w:t>e</w:t>
      </w:r>
      <w:r w:rsidRPr="00C03A20">
        <w:t xml:space="preserve"> a situation</w:t>
      </w:r>
      <w:r>
        <w:t xml:space="preserve">, such as the </w:t>
      </w:r>
      <w:r w:rsidR="00AB4F8B">
        <w:t>classic construction</w:t>
      </w:r>
      <w:r w:rsidR="00931BC5">
        <w:t>-zone</w:t>
      </w:r>
      <w:r w:rsidR="00AB4F8B">
        <w:t xml:space="preserve"> </w:t>
      </w:r>
      <w:r w:rsidR="00C71ADA">
        <w:t>sign</w:t>
      </w:r>
      <w:r w:rsidRPr="00C03A20">
        <w:t xml:space="preserve"> </w:t>
      </w:r>
      <w:r w:rsidRPr="00C71ADA">
        <w:rPr>
          <w:i/>
          <w:iCs/>
        </w:rPr>
        <w:t>M</w:t>
      </w:r>
      <w:r w:rsidR="00AB4F8B" w:rsidRPr="00C71ADA">
        <w:rPr>
          <w:i/>
          <w:iCs/>
        </w:rPr>
        <w:t>en at Work</w:t>
      </w:r>
      <w:r w:rsidR="00AB4F8B">
        <w:t>.</w:t>
      </w:r>
      <w:r w:rsidRPr="00C03A20">
        <w:t xml:space="preserve"> </w:t>
      </w:r>
      <w:r w:rsidR="004B64AF">
        <w:t xml:space="preserve">(2) </w:t>
      </w:r>
      <w:r w:rsidRPr="00C03A20">
        <w:t xml:space="preserve">This noun is </w:t>
      </w:r>
      <w:r w:rsidR="00C71ADA" w:rsidRPr="00C03A20">
        <w:t xml:space="preserve">featured </w:t>
      </w:r>
      <w:r w:rsidRPr="00C03A20">
        <w:t>in predications that situate the person in question</w:t>
      </w:r>
      <w:r>
        <w:t>, as in the slang approbation</w:t>
      </w:r>
      <w:r w:rsidRPr="00C03A20">
        <w:t xml:space="preserve"> </w:t>
      </w:r>
      <w:r w:rsidRPr="00AB2818">
        <w:rPr>
          <w:i/>
          <w:iCs/>
        </w:rPr>
        <w:t>You da man!</w:t>
      </w:r>
      <w:r w:rsidRPr="00C03A20">
        <w:t xml:space="preserve"> </w:t>
      </w:r>
      <w:r w:rsidR="004B64AF">
        <w:t xml:space="preserve">(3) </w:t>
      </w:r>
      <w:r w:rsidRPr="00C03A20">
        <w:t xml:space="preserve">It is </w:t>
      </w:r>
      <w:r w:rsidR="00C71ADA">
        <w:t xml:space="preserve">employed </w:t>
      </w:r>
      <w:r w:rsidRPr="00C03A20">
        <w:t xml:space="preserve">in phrases that introduce </w:t>
      </w:r>
      <w:r w:rsidRPr="00B171A2">
        <w:t>situationally essential</w:t>
      </w:r>
      <w:r w:rsidRPr="00DB5356">
        <w:rPr>
          <w:i/>
          <w:iCs/>
        </w:rPr>
        <w:t xml:space="preserve"> </w:t>
      </w:r>
      <w:r w:rsidRPr="00C03A20">
        <w:t xml:space="preserve">information about </w:t>
      </w:r>
      <w:r>
        <w:t>a</w:t>
      </w:r>
      <w:r w:rsidRPr="00C03A20">
        <w:t xml:space="preserve"> participant</w:t>
      </w:r>
      <w:r>
        <w:t>, e.g.,</w:t>
      </w:r>
      <w:r w:rsidRPr="00C03A20">
        <w:t xml:space="preserve"> </w:t>
      </w:r>
      <w:r w:rsidRPr="00AB2818">
        <w:rPr>
          <w:i/>
          <w:iCs/>
        </w:rPr>
        <w:t xml:space="preserve">a man of </w:t>
      </w:r>
      <w:r w:rsidR="00C71ADA" w:rsidRPr="00AB2818">
        <w:rPr>
          <w:i/>
          <w:iCs/>
        </w:rPr>
        <w:t>means</w:t>
      </w:r>
      <w:r>
        <w:t>.</w:t>
      </w:r>
      <w:r w:rsidRPr="00C03A20">
        <w:t xml:space="preserve"> </w:t>
      </w:r>
      <w:r w:rsidR="004B64AF">
        <w:t>(4) I</w:t>
      </w:r>
      <w:r w:rsidRPr="00C03A20">
        <w:t xml:space="preserve">t appears in </w:t>
      </w:r>
      <w:r>
        <w:t>social-</w:t>
      </w:r>
      <w:r w:rsidRPr="00C03A20">
        <w:t>role terms that presuppose situations</w:t>
      </w:r>
      <w:r>
        <w:t>, such as</w:t>
      </w:r>
      <w:r w:rsidR="00C71ADA">
        <w:t xml:space="preserve"> an</w:t>
      </w:r>
      <w:r w:rsidRPr="00C03A20">
        <w:t xml:space="preserve"> </w:t>
      </w:r>
      <w:r w:rsidRPr="00AB2818">
        <w:rPr>
          <w:i/>
          <w:iCs/>
        </w:rPr>
        <w:t>advance man</w:t>
      </w:r>
      <w:r>
        <w:t>.</w:t>
      </w:r>
      <w:r w:rsidRPr="00C03A20">
        <w:t xml:space="preserve"> </w:t>
      </w:r>
      <w:r w:rsidR="004B64AF">
        <w:t>(5) I</w:t>
      </w:r>
      <w:r w:rsidRPr="00C03A20">
        <w:t xml:space="preserve">t is </w:t>
      </w:r>
      <w:r>
        <w:t>used to</w:t>
      </w:r>
      <w:r w:rsidRPr="00C03A20">
        <w:t xml:space="preserve"> label its referent in terms of a situation that is already </w:t>
      </w:r>
      <w:r>
        <w:t>under discussion</w:t>
      </w:r>
      <w:r w:rsidRPr="00C03A20">
        <w:t xml:space="preserve">: </w:t>
      </w:r>
      <w:r w:rsidRPr="00AB2818">
        <w:rPr>
          <w:i/>
          <w:iCs/>
        </w:rPr>
        <w:t>You’re just the man we’ve been looking for.</w:t>
      </w:r>
    </w:p>
  </w:footnote>
  <w:footnote w:id="11">
    <w:p w14:paraId="5AA75494" w14:textId="49CD63E3" w:rsidR="002D1B6A" w:rsidRDefault="002D1B6A">
      <w:pPr>
        <w:pStyle w:val="FootnoteText"/>
      </w:pPr>
      <w:r>
        <w:rPr>
          <w:rStyle w:val="FootnoteReference"/>
        </w:rPr>
        <w:footnoteRef/>
      </w:r>
      <w:r>
        <w:t xml:space="preserve"> I.e., a situating noun operates mostly </w:t>
      </w:r>
      <w:r w:rsidRPr="00B44C8D">
        <w:t xml:space="preserve">within the realm of communication </w:t>
      </w:r>
      <w:r w:rsidRPr="00B44C8D">
        <w:rPr>
          <w:i/>
          <w:iCs/>
        </w:rPr>
        <w:t>between the speaker and an audience</w:t>
      </w:r>
      <w:r w:rsidR="00364916">
        <w:t>, rather than on the level of providing information about its referent</w:t>
      </w:r>
      <w:r w:rsidR="00364916" w:rsidRPr="00B45606">
        <w:t xml:space="preserve">’s </w:t>
      </w:r>
      <w:r w:rsidR="003F1717">
        <w:t>qualities</w:t>
      </w:r>
      <w:r w:rsidR="00364916">
        <w:t>.</w:t>
      </w:r>
      <w:r>
        <w:t xml:space="preserve"> </w:t>
      </w:r>
      <w:r w:rsidR="004D69ED">
        <w:t>In this</w:t>
      </w:r>
      <w:r>
        <w:t xml:space="preserve"> domain </w:t>
      </w:r>
      <w:r w:rsidR="004D69ED">
        <w:t>(studied in the academic field of linguistics called</w:t>
      </w:r>
      <w:r>
        <w:t xml:space="preserve"> </w:t>
      </w:r>
      <w:r w:rsidRPr="003F1717">
        <w:rPr>
          <w:i/>
          <w:iCs/>
        </w:rPr>
        <w:t>pragmatics</w:t>
      </w:r>
      <w:r w:rsidR="004D69ED">
        <w:t>)</w:t>
      </w:r>
      <w:r>
        <w:t xml:space="preserve">, </w:t>
      </w:r>
      <w:r w:rsidR="004D69ED">
        <w:t>cognitive</w:t>
      </w:r>
      <w:r>
        <w:t xml:space="preserve"> operations are</w:t>
      </w:r>
      <w:r w:rsidR="00E4421D">
        <w:t xml:space="preserve"> known to be</w:t>
      </w:r>
      <w:r>
        <w:t xml:space="preserve"> largely </w:t>
      </w:r>
      <w:r w:rsidRPr="00B44C8D">
        <w:t>invisible</w:t>
      </w:r>
      <w:r>
        <w:t xml:space="preserve"> even to native speakers. </w:t>
      </w:r>
      <w:r w:rsidR="004C32CF">
        <w:t>A</w:t>
      </w:r>
      <w:r w:rsidR="00D20EFF">
        <w:t xml:space="preserve"> </w:t>
      </w:r>
      <w:r w:rsidR="008F04CA">
        <w:t>s</w:t>
      </w:r>
      <w:r>
        <w:t>ituating noun</w:t>
      </w:r>
      <w:r w:rsidR="00D20EFF">
        <w:t xml:space="preserve"> is</w:t>
      </w:r>
      <w:r w:rsidR="008F04CA">
        <w:t xml:space="preserve"> processed</w:t>
      </w:r>
      <w:r>
        <w:t xml:space="preserve"> at</w:t>
      </w:r>
      <w:r w:rsidR="00556620">
        <w:t xml:space="preserve"> such</w:t>
      </w:r>
      <w:r>
        <w:t xml:space="preserve"> a </w:t>
      </w:r>
      <w:r w:rsidR="00556620">
        <w:t xml:space="preserve">basic </w:t>
      </w:r>
      <w:r>
        <w:t xml:space="preserve">level of cognition </w:t>
      </w:r>
      <w:r w:rsidR="008F04CA">
        <w:t>that</w:t>
      </w:r>
      <w:r>
        <w:t xml:space="preserve"> it is </w:t>
      </w:r>
      <w:r w:rsidR="00364916">
        <w:t xml:space="preserve">hardly </w:t>
      </w:r>
      <w:r w:rsidR="008F04CA">
        <w:t>available</w:t>
      </w:r>
      <w:r w:rsidR="00364916">
        <w:t xml:space="preserve"> to conscious</w:t>
      </w:r>
      <w:r w:rsidR="006730F2">
        <w:t xml:space="preserve"> reflection</w:t>
      </w:r>
      <w:r>
        <w:t>.</w:t>
      </w:r>
      <w:r w:rsidR="00D75E6E">
        <w:t xml:space="preserve"> </w:t>
      </w:r>
      <w:r w:rsidR="00D20EFF">
        <w:t xml:space="preserve">Not surprisingly, then, </w:t>
      </w:r>
      <w:r w:rsidR="003F1717">
        <w:t>the category of situating nouns</w:t>
      </w:r>
      <w:r w:rsidR="00D20EFF">
        <w:t xml:space="preserve"> has been widely </w:t>
      </w:r>
      <w:r w:rsidR="003F1717">
        <w:t>overlooked</w:t>
      </w:r>
      <w:r w:rsidR="00D20EFF">
        <w:t>.</w:t>
      </w:r>
    </w:p>
  </w:footnote>
  <w:footnote w:id="12">
    <w:p w14:paraId="75D65059" w14:textId="58508A3A" w:rsidR="004D69ED" w:rsidRDefault="004D69ED" w:rsidP="004D69ED">
      <w:pPr>
        <w:pStyle w:val="FootnoteText"/>
      </w:pPr>
      <w:r>
        <w:rPr>
          <w:rStyle w:val="FootnoteReference"/>
        </w:rPr>
        <w:footnoteRef/>
      </w:r>
      <w:r>
        <w:t xml:space="preserve"> The need to communicate </w:t>
      </w:r>
      <w:r w:rsidRPr="006C79D9">
        <w:rPr>
          <w:i/>
          <w:iCs/>
        </w:rPr>
        <w:t>schematically</w:t>
      </w:r>
      <w:r>
        <w:t xml:space="preserve"> about situations is </w:t>
      </w:r>
      <w:r w:rsidR="00176621">
        <w:t>nearly ubiquitous</w:t>
      </w:r>
      <w:r>
        <w:t>. It arises</w:t>
      </w:r>
      <w:r w:rsidR="00176621">
        <w:t xml:space="preserve"> not only when </w:t>
      </w:r>
      <w:r w:rsidR="00176621" w:rsidRPr="00927340">
        <w:rPr>
          <w:i/>
          <w:iCs/>
        </w:rPr>
        <w:t>announcing</w:t>
      </w:r>
      <w:r w:rsidR="00176621">
        <w:t xml:space="preserve"> a situation but also when </w:t>
      </w:r>
      <w:r w:rsidR="00176621" w:rsidRPr="00927340">
        <w:rPr>
          <w:i/>
          <w:iCs/>
        </w:rPr>
        <w:t>commenting</w:t>
      </w:r>
      <w:r w:rsidR="00176621">
        <w:t xml:space="preserve"> upon one.</w:t>
      </w:r>
      <w:r>
        <w:t xml:space="preserve"> </w:t>
      </w:r>
      <w:r w:rsidR="00176621">
        <w:t>Furthermore, when</w:t>
      </w:r>
      <w:r>
        <w:t xml:space="preserve"> formulating a </w:t>
      </w:r>
      <w:r w:rsidRPr="00927340">
        <w:rPr>
          <w:i/>
          <w:iCs/>
        </w:rPr>
        <w:t>question</w:t>
      </w:r>
      <w:r>
        <w:t xml:space="preserve">, </w:t>
      </w:r>
      <w:r w:rsidR="00176621">
        <w:t>a speaker</w:t>
      </w:r>
      <w:r>
        <w:t xml:space="preserve"> must </w:t>
      </w:r>
      <w:r w:rsidR="00176621">
        <w:t>often identify the</w:t>
      </w:r>
      <w:r>
        <w:t xml:space="preserve"> situation</w:t>
      </w:r>
      <w:r w:rsidR="00176621">
        <w:t xml:space="preserve"> of interest</w:t>
      </w:r>
      <w:r>
        <w:t xml:space="preserve"> in order to elicit more information about it</w:t>
      </w:r>
      <w:r w:rsidR="00176621">
        <w:t xml:space="preserve">. </w:t>
      </w:r>
      <w:proofErr w:type="gramStart"/>
      <w:r w:rsidR="00176621">
        <w:t>Likewise</w:t>
      </w:r>
      <w:proofErr w:type="gramEnd"/>
      <w:r>
        <w:t xml:space="preserve"> when issuing a </w:t>
      </w:r>
      <w:r w:rsidRPr="00927340">
        <w:rPr>
          <w:i/>
          <w:iCs/>
        </w:rPr>
        <w:t>command</w:t>
      </w:r>
      <w:r>
        <w:t xml:space="preserve">, </w:t>
      </w:r>
      <w:r w:rsidR="00176621">
        <w:t xml:space="preserve">the speaker </w:t>
      </w:r>
      <w:r>
        <w:t>normally must describe the</w:t>
      </w:r>
      <w:r w:rsidRPr="006C79D9">
        <w:t xml:space="preserve"> desired state of affairs.</w:t>
      </w:r>
      <w:r>
        <w:t xml:space="preserve"> </w:t>
      </w:r>
      <w:r w:rsidR="00996875">
        <w:t xml:space="preserve">The recurring need for </w:t>
      </w:r>
      <w:r w:rsidR="000442E9">
        <w:t xml:space="preserve">making </w:t>
      </w:r>
      <w:r w:rsidR="00996875">
        <w:t>a quick sketch</w:t>
      </w:r>
      <w:r w:rsidR="000442E9">
        <w:t xml:space="preserve"> in words</w:t>
      </w:r>
      <w:r>
        <w:t xml:space="preserve"> explain</w:t>
      </w:r>
      <w:r w:rsidR="00996875">
        <w:t>s</w:t>
      </w:r>
      <w:r>
        <w:t xml:space="preserve"> why the situating noun</w:t>
      </w:r>
      <w:r w:rsidRPr="00C03A20">
        <w:t xml:space="preserve"> </w:t>
      </w:r>
      <w:r>
        <w:rPr>
          <w:i/>
          <w:iCs/>
        </w:rPr>
        <w:t>man</w:t>
      </w:r>
      <w:r>
        <w:t xml:space="preserve"> (together with </w:t>
      </w:r>
      <w:r>
        <w:rPr>
          <w:i/>
          <w:iCs/>
        </w:rPr>
        <w:t>woman</w:t>
      </w:r>
      <w:r>
        <w:t>) has been</w:t>
      </w:r>
      <w:r w:rsidRPr="00C03A20">
        <w:t xml:space="preserve"> used more frequently than </w:t>
      </w:r>
      <w:r>
        <w:t xml:space="preserve">any </w:t>
      </w:r>
      <w:r w:rsidRPr="00C03A20">
        <w:t xml:space="preserve">other personal noun in </w:t>
      </w:r>
      <w:r>
        <w:t>the English</w:t>
      </w:r>
      <w:r w:rsidRPr="00C03A20">
        <w:t xml:space="preserve"> language</w:t>
      </w:r>
      <w:r>
        <w:t xml:space="preserve">, including other general human nouns. </w:t>
      </w:r>
    </w:p>
  </w:footnote>
  <w:footnote w:id="13">
    <w:p w14:paraId="6DCE773A" w14:textId="77777777" w:rsidR="00C01F4F" w:rsidRDefault="00C01F4F" w:rsidP="00C01F4F">
      <w:pPr>
        <w:pStyle w:val="FootnoteText"/>
      </w:pPr>
      <w:r>
        <w:rPr>
          <w:rStyle w:val="FootnoteReference"/>
        </w:rPr>
        <w:footnoteRef/>
      </w:r>
      <w:r>
        <w:t xml:space="preserve"> Cf. sense 6 for</w:t>
      </w:r>
      <w:r w:rsidRPr="00C03A20">
        <w:t xml:space="preserve"> </w:t>
      </w:r>
      <w:r w:rsidRPr="00497B32">
        <w:t>“man”</w:t>
      </w:r>
      <w:r>
        <w:t xml:space="preserve"> in</w:t>
      </w:r>
      <w:r w:rsidRPr="00497B32">
        <w:t> </w:t>
      </w:r>
      <w:r w:rsidRPr="00497B32">
        <w:rPr>
          <w:i/>
          <w:iCs/>
        </w:rPr>
        <w:t>Merriam-Webster</w:t>
      </w:r>
      <w:r w:rsidRPr="00B45606">
        <w:rPr>
          <w:i/>
          <w:iCs/>
        </w:rPr>
        <w:t>’s U</w:t>
      </w:r>
      <w:r w:rsidRPr="00497B32">
        <w:rPr>
          <w:i/>
          <w:iCs/>
        </w:rPr>
        <w:t>nabridged Dictionary,</w:t>
      </w:r>
      <w:r w:rsidRPr="00497B32">
        <w:t xml:space="preserve"> unabridged.merriam-webster.com/unabridged/man. Accessed 6/24/2022.</w:t>
      </w:r>
    </w:p>
  </w:footnote>
  <w:footnote w:id="14">
    <w:p w14:paraId="5DD4DF64" w14:textId="0D45706D" w:rsidR="00726E58" w:rsidRDefault="00726E58">
      <w:pPr>
        <w:pStyle w:val="FootnoteText"/>
      </w:pPr>
      <w:r>
        <w:rPr>
          <w:rStyle w:val="FootnoteReference"/>
        </w:rPr>
        <w:footnoteRef/>
      </w:r>
      <w:r>
        <w:t xml:space="preserve"> </w:t>
      </w:r>
      <w:r w:rsidR="00661C3C">
        <w:rPr>
          <w:rFonts w:asciiTheme="majorBidi" w:hAnsiTheme="majorBidi" w:cstheme="majorBidi"/>
          <w:color w:val="000000"/>
        </w:rPr>
        <w:t>None of these three recent changes in the English language can be explained by the concept of a false generic. G</w:t>
      </w:r>
      <w:r>
        <w:rPr>
          <w:rFonts w:asciiTheme="majorBidi" w:hAnsiTheme="majorBidi" w:cstheme="majorBidi"/>
          <w:color w:val="000000"/>
        </w:rPr>
        <w:t xml:space="preserve">ender is </w:t>
      </w:r>
      <w:r w:rsidR="00661C3C">
        <w:rPr>
          <w:rFonts w:asciiTheme="majorBidi" w:hAnsiTheme="majorBidi" w:cstheme="majorBidi"/>
          <w:color w:val="000000"/>
        </w:rPr>
        <w:t>almost</w:t>
      </w:r>
      <w:r>
        <w:rPr>
          <w:rFonts w:asciiTheme="majorBidi" w:hAnsiTheme="majorBidi" w:cstheme="majorBidi"/>
          <w:color w:val="000000"/>
        </w:rPr>
        <w:t xml:space="preserve"> </w:t>
      </w:r>
      <w:r w:rsidR="00661C3C">
        <w:rPr>
          <w:rFonts w:asciiTheme="majorBidi" w:hAnsiTheme="majorBidi" w:cstheme="majorBidi"/>
          <w:color w:val="000000"/>
        </w:rPr>
        <w:t>n</w:t>
      </w:r>
      <w:r>
        <w:rPr>
          <w:rFonts w:asciiTheme="majorBidi" w:hAnsiTheme="majorBidi" w:cstheme="majorBidi"/>
          <w:color w:val="000000"/>
        </w:rPr>
        <w:t xml:space="preserve">ever directly </w:t>
      </w:r>
      <w:r w:rsidR="00E41500">
        <w:rPr>
          <w:rFonts w:asciiTheme="majorBidi" w:hAnsiTheme="majorBidi" w:cstheme="majorBidi"/>
          <w:color w:val="000000"/>
        </w:rPr>
        <w:t>germane</w:t>
      </w:r>
      <w:r>
        <w:rPr>
          <w:rFonts w:asciiTheme="majorBidi" w:hAnsiTheme="majorBidi" w:cstheme="majorBidi"/>
          <w:color w:val="000000"/>
        </w:rPr>
        <w:t xml:space="preserve"> in </w:t>
      </w:r>
      <w:r w:rsidR="00E41500">
        <w:rPr>
          <w:rFonts w:asciiTheme="majorBidi" w:hAnsiTheme="majorBidi" w:cstheme="majorBidi"/>
          <w:color w:val="000000"/>
        </w:rPr>
        <w:t xml:space="preserve">the </w:t>
      </w:r>
      <w:r>
        <w:rPr>
          <w:rFonts w:asciiTheme="majorBidi" w:hAnsiTheme="majorBidi" w:cstheme="majorBidi"/>
          <w:color w:val="000000"/>
        </w:rPr>
        <w:t>utterances</w:t>
      </w:r>
      <w:r w:rsidR="00E41500">
        <w:rPr>
          <w:rFonts w:asciiTheme="majorBidi" w:hAnsiTheme="majorBidi" w:cstheme="majorBidi"/>
          <w:color w:val="000000"/>
        </w:rPr>
        <w:t xml:space="preserve"> cited in this paragraph</w:t>
      </w:r>
      <w:r>
        <w:rPr>
          <w:rFonts w:asciiTheme="majorBidi" w:hAnsiTheme="majorBidi" w:cstheme="majorBidi"/>
          <w:color w:val="000000"/>
        </w:rPr>
        <w:t>.</w:t>
      </w:r>
    </w:p>
  </w:footnote>
  <w:footnote w:id="15">
    <w:p w14:paraId="412173F5" w14:textId="142B95FE" w:rsidR="00ED00EE" w:rsidRDefault="00ED00EE" w:rsidP="00ED00EE">
      <w:pPr>
        <w:pStyle w:val="FootnoteText"/>
      </w:pPr>
      <w:r>
        <w:rPr>
          <w:rStyle w:val="FootnoteReference"/>
        </w:rPr>
        <w:footnoteRef/>
      </w:r>
      <w:r>
        <w:t xml:space="preserve"> </w:t>
      </w:r>
      <w:r w:rsidR="001408F1">
        <w:t>On</w:t>
      </w:r>
      <w:r w:rsidRPr="001408F1">
        <w:t xml:space="preserve"> the</w:t>
      </w:r>
      <w:r w:rsidR="006A2F00" w:rsidRPr="001408F1">
        <w:t xml:space="preserve"> </w:t>
      </w:r>
      <w:r w:rsidR="005F06AA">
        <w:t xml:space="preserve">replacement of </w:t>
      </w:r>
      <w:r w:rsidR="005F06AA">
        <w:rPr>
          <w:i/>
          <w:iCs/>
        </w:rPr>
        <w:t>man</w:t>
      </w:r>
      <w:r w:rsidR="005F06AA">
        <w:t xml:space="preserve"> in the Bible’s</w:t>
      </w:r>
      <w:r w:rsidRPr="001408F1">
        <w:t xml:space="preserve"> references to supernatural beings</w:t>
      </w:r>
      <w:r w:rsidR="001C1139">
        <w:t xml:space="preserve"> as messengers and guides</w:t>
      </w:r>
      <w:r w:rsidRPr="001408F1">
        <w:t>, see</w:t>
      </w:r>
      <w:r w:rsidR="001408F1">
        <w:t xml:space="preserve"> below under </w:t>
      </w:r>
      <w:r w:rsidR="00244D66">
        <w:t>“</w:t>
      </w:r>
      <w:r w:rsidR="001408F1">
        <w:t xml:space="preserve">The Construal of </w:t>
      </w:r>
      <w:r w:rsidR="001408F1" w:rsidRPr="001408F1">
        <w:rPr>
          <w:rFonts w:ascii="SBL BibLit" w:hAnsi="SBL BibLit" w:cs="SBL BibLit"/>
          <w:szCs w:val="22"/>
          <w:rtl/>
        </w:rPr>
        <w:t>אִישׁ</w:t>
      </w:r>
      <w:r w:rsidR="001408F1">
        <w:t>.</w:t>
      </w:r>
      <w:r w:rsidR="00244D66">
        <w:t>”</w:t>
      </w:r>
    </w:p>
  </w:footnote>
  <w:footnote w:id="16">
    <w:p w14:paraId="7BA51EB3" w14:textId="1148EA65" w:rsidR="008C617E" w:rsidRDefault="008C617E">
      <w:pPr>
        <w:pStyle w:val="FootnoteText"/>
      </w:pPr>
      <w:r>
        <w:rPr>
          <w:rStyle w:val="FootnoteReference"/>
        </w:rPr>
        <w:footnoteRef/>
      </w:r>
      <w:r>
        <w:t xml:space="preserve"> This is a property of the language that arises naturally from </w:t>
      </w:r>
      <w:r w:rsidR="009103D2">
        <w:t>its</w:t>
      </w:r>
      <w:r>
        <w:t xml:space="preserve"> </w:t>
      </w:r>
      <w:r w:rsidR="009103D2">
        <w:t>structure</w:t>
      </w:r>
      <w:r>
        <w:t>, quite apart from sexism.</w:t>
      </w:r>
    </w:p>
  </w:footnote>
  <w:footnote w:id="17">
    <w:p w14:paraId="4C6C3A5C" w14:textId="59AA177C" w:rsidR="00B84BE8" w:rsidRDefault="00B84BE8">
      <w:pPr>
        <w:pStyle w:val="FootnoteText"/>
      </w:pPr>
      <w:r>
        <w:rPr>
          <w:rStyle w:val="FootnoteReference"/>
        </w:rPr>
        <w:footnoteRef/>
      </w:r>
      <w:r>
        <w:t xml:space="preserve"> In such cases, </w:t>
      </w:r>
      <w:r w:rsidRPr="00B45606">
        <w:t xml:space="preserve">the speaker’s use of masculine grammatical gender </w:t>
      </w:r>
      <w:r>
        <w:t>constrains</w:t>
      </w:r>
      <w:r w:rsidRPr="00B45606">
        <w:t xml:space="preserve"> the </w:t>
      </w:r>
      <w:r>
        <w:t>referent’s gender in only one respect: the scope is</w:t>
      </w:r>
      <w:r w:rsidRPr="00B45606">
        <w:t xml:space="preserve"> not restricted to females only</w:t>
      </w:r>
      <w:r>
        <w:t>.</w:t>
      </w:r>
    </w:p>
  </w:footnote>
  <w:footnote w:id="18">
    <w:p w14:paraId="2FA73981" w14:textId="162E19BB" w:rsidR="00D85B5C" w:rsidRPr="00D85B5C" w:rsidRDefault="00D85B5C">
      <w:pPr>
        <w:pStyle w:val="FootnoteText"/>
      </w:pPr>
      <w:r>
        <w:rPr>
          <w:rStyle w:val="FootnoteReference"/>
        </w:rPr>
        <w:footnoteRef/>
      </w:r>
      <w:r>
        <w:t xml:space="preserve"> Perhaps the only exception is the noun </w:t>
      </w:r>
      <w:r w:rsidRPr="00D85B5C">
        <w:rPr>
          <w:rFonts w:hAnsi="SBL BibLit" w:cs="SBL BibLit" w:hint="cs"/>
          <w:szCs w:val="22"/>
          <w:rtl/>
        </w:rPr>
        <w:t>זָכָר</w:t>
      </w:r>
      <w:r>
        <w:t xml:space="preserve"> </w:t>
      </w:r>
      <w:proofErr w:type="spellStart"/>
      <w:r>
        <w:rPr>
          <w:i/>
          <w:iCs/>
        </w:rPr>
        <w:t>zakhar</w:t>
      </w:r>
      <w:proofErr w:type="spellEnd"/>
      <w:r>
        <w:t xml:space="preserve"> “male.”</w:t>
      </w:r>
    </w:p>
  </w:footnote>
  <w:footnote w:id="19">
    <w:p w14:paraId="5E21BC6D" w14:textId="06C0896D" w:rsidR="00753BFF" w:rsidRDefault="00753BFF">
      <w:pPr>
        <w:pStyle w:val="FootnoteText"/>
      </w:pPr>
      <w:r>
        <w:rPr>
          <w:rStyle w:val="FootnoteReference"/>
        </w:rPr>
        <w:footnoteRef/>
      </w:r>
      <w:r>
        <w:t xml:space="preserve"> </w:t>
      </w:r>
      <w:r w:rsidR="00FB31CE">
        <w:t xml:space="preserve">Rendering </w:t>
      </w:r>
      <w:r w:rsidR="00FB31CE" w:rsidRPr="00097315">
        <w:rPr>
          <w:rFonts w:ascii="SBL BibLit" w:hAnsi="SBL BibLit" w:cs="SBL BibLit" w:hint="cs"/>
          <w:color w:val="000000"/>
          <w:szCs w:val="22"/>
          <w:rtl/>
        </w:rPr>
        <w:t>אָח</w:t>
      </w:r>
      <w:r w:rsidR="00FB31CE">
        <w:t xml:space="preserve"> here </w:t>
      </w:r>
      <w:r w:rsidR="007F4F7A">
        <w:t>via</w:t>
      </w:r>
      <w:r w:rsidR="00FB31CE">
        <w:t xml:space="preserve"> an adjective appears already in NJPS. </w:t>
      </w:r>
      <w:r w:rsidR="00FD064F">
        <w:t>T</w:t>
      </w:r>
      <w:r>
        <w:t xml:space="preserve">he revised </w:t>
      </w:r>
      <w:r w:rsidR="007F4F7A">
        <w:t>edition</w:t>
      </w:r>
      <w:r w:rsidR="00FD064F">
        <w:t xml:space="preserve"> continues to</w:t>
      </w:r>
      <w:r>
        <w:t xml:space="preserve"> treat “fellow” as a gender-inclusive term when it is employed as an adjective, but not as a noun.</w:t>
      </w:r>
    </w:p>
  </w:footnote>
  <w:footnote w:id="20">
    <w:p w14:paraId="22E1889D" w14:textId="4FE99F48" w:rsidR="005F3974" w:rsidRDefault="005F3974" w:rsidP="005F3974">
      <w:pPr>
        <w:pStyle w:val="FootnoteText"/>
      </w:pPr>
      <w:r>
        <w:rPr>
          <w:rStyle w:val="FootnoteReference"/>
        </w:rPr>
        <w:footnoteRef/>
      </w:r>
      <w:r>
        <w:t xml:space="preserve"> The same passage shows that the </w:t>
      </w:r>
      <w:r w:rsidR="006B00A1">
        <w:t xml:space="preserve">so-called </w:t>
      </w:r>
      <w:r>
        <w:t xml:space="preserve">male noun </w:t>
      </w:r>
      <w:r w:rsidRPr="008A5BFD">
        <w:rPr>
          <w:rFonts w:ascii="SBL BibLit" w:hAnsi="SBL BibLit" w:cs="SBL BibLit" w:hint="cs"/>
          <w:color w:val="000000"/>
          <w:sz w:val="24"/>
          <w:szCs w:val="24"/>
          <w:rtl/>
        </w:rPr>
        <w:t>רֵעַ</w:t>
      </w:r>
      <w:r w:rsidRPr="008A5BFD">
        <w:rPr>
          <w:rFonts w:cs="Times New Roman"/>
          <w:color w:val="000000"/>
        </w:rPr>
        <w:t xml:space="preserve"> (“</w:t>
      </w:r>
      <w:r>
        <w:t xml:space="preserve">fellow”) can </w:t>
      </w:r>
      <w:r w:rsidR="002E4390">
        <w:t xml:space="preserve">likewise </w:t>
      </w:r>
      <w:r>
        <w:t>be used gender-inclusively when making reference to a class of persons (Jer. 34.15, 17).</w:t>
      </w:r>
      <w:r w:rsidR="004E7F85">
        <w:t xml:space="preserve"> Indeed, b</w:t>
      </w:r>
      <w:r w:rsidR="004E7F85" w:rsidRPr="00B45606">
        <w:t xml:space="preserve">iblical </w:t>
      </w:r>
      <w:r w:rsidR="004E7F85">
        <w:t>interlocutors</w:t>
      </w:r>
      <w:r w:rsidR="004E7F85" w:rsidRPr="00B45606">
        <w:t xml:space="preserve"> are repeatedly depicted as matter-of-factly </w:t>
      </w:r>
      <w:r w:rsidR="004E7F85">
        <w:t xml:space="preserve">employing and </w:t>
      </w:r>
      <w:r w:rsidR="004E7F85" w:rsidRPr="00B45606">
        <w:t xml:space="preserve">construing nonspecific “masculine” </w:t>
      </w:r>
      <w:r w:rsidR="0014090D">
        <w:t>references</w:t>
      </w:r>
      <w:r w:rsidR="004E7F85" w:rsidRPr="00B45606">
        <w:t xml:space="preserve"> gender-inclusively. They do so in a wide range of contexts—</w:t>
      </w:r>
      <w:r w:rsidR="004E7F85" w:rsidRPr="00B45606">
        <w:rPr>
          <w:rFonts w:asciiTheme="majorBidi" w:hAnsiTheme="majorBidi" w:cstheme="majorBidi"/>
          <w:color w:val="000000"/>
        </w:rPr>
        <w:t>mundane conversation, public announcements, contracts, vows, and civil law.</w:t>
      </w:r>
      <w:r w:rsidR="004E7F85" w:rsidRPr="004E7F85">
        <w:t xml:space="preserve"> </w:t>
      </w:r>
      <w:r w:rsidR="004E7F85">
        <w:t>I</w:t>
      </w:r>
      <w:r w:rsidR="004E7F85" w:rsidRPr="00B45606">
        <w:rPr>
          <w:rFonts w:asciiTheme="majorBidi" w:hAnsiTheme="majorBidi" w:cstheme="majorBidi"/>
          <w:color w:val="000000"/>
        </w:rPr>
        <w:t>n this respect, Biblical Hebrew differs sharply from contemporary Israeli Hebrew.</w:t>
      </w:r>
    </w:p>
  </w:footnote>
  <w:footnote w:id="21">
    <w:p w14:paraId="3E77F76C" w14:textId="74649C92" w:rsidR="00661A9E" w:rsidRDefault="00661A9E" w:rsidP="00661A9E">
      <w:pPr>
        <w:pStyle w:val="FootnoteText"/>
      </w:pPr>
      <w:r>
        <w:rPr>
          <w:rStyle w:val="FootnoteReference"/>
        </w:rPr>
        <w:footnoteRef/>
      </w:r>
      <w:r>
        <w:t xml:space="preserve"> Although it has been argued that the </w:t>
      </w:r>
      <w:r w:rsidR="00F13AEC" w:rsidRPr="00F13AEC">
        <w:rPr>
          <w:rFonts w:ascii="SBL BibLit" w:hAnsi="SBL BibLit" w:cs="SBL BibLit" w:hint="cs"/>
          <w:color w:val="000000"/>
          <w:szCs w:val="22"/>
          <w:rtl/>
        </w:rPr>
        <w:t>סָרִיס</w:t>
      </w:r>
      <w:r>
        <w:t xml:space="preserve"> </w:t>
      </w:r>
      <w:r>
        <w:rPr>
          <w:i/>
          <w:iCs/>
        </w:rPr>
        <w:t>saris</w:t>
      </w:r>
      <w:r>
        <w:t xml:space="preserve"> “eunuch” should be considered a</w:t>
      </w:r>
      <w:r w:rsidR="00F13AEC">
        <w:t>nother</w:t>
      </w:r>
      <w:r>
        <w:t xml:space="preserve"> gender in ancient Israel aside from “normal” men, such a classification would have little impact on how the biblical text is translated. </w:t>
      </w:r>
      <w:r w:rsidR="0005113F">
        <w:t>Consequently</w:t>
      </w:r>
      <w:r>
        <w:t>, these notes are framed</w:t>
      </w:r>
      <w:r w:rsidR="007F4F7A">
        <w:t xml:space="preserve"> only</w:t>
      </w:r>
      <w:r>
        <w:t xml:space="preserve"> in terms of the classic two genders.</w:t>
      </w:r>
    </w:p>
  </w:footnote>
  <w:footnote w:id="22">
    <w:p w14:paraId="6EB62804" w14:textId="6086EBBE" w:rsidR="002B61D2" w:rsidRDefault="002B61D2" w:rsidP="002B61D2">
      <w:pPr>
        <w:pStyle w:val="FootnoteText"/>
      </w:pPr>
      <w:r>
        <w:rPr>
          <w:rStyle w:val="FootnoteReference"/>
        </w:rPr>
        <w:footnoteRef/>
      </w:r>
      <w:r>
        <w:t xml:space="preserve"> The conceit of</w:t>
      </w:r>
      <w:r w:rsidRPr="002B61D2">
        <w:t xml:space="preserve"> the </w:t>
      </w:r>
      <w:r w:rsidR="007F4CBE">
        <w:t>b</w:t>
      </w:r>
      <w:r w:rsidRPr="002B61D2">
        <w:t>ook of Proverbs is</w:t>
      </w:r>
      <w:r w:rsidR="001E1298">
        <w:t xml:space="preserve"> that it is </w:t>
      </w:r>
      <w:r w:rsidRPr="002B61D2">
        <w:t>educat</w:t>
      </w:r>
      <w:r w:rsidR="001E1298">
        <w:t>ing</w:t>
      </w:r>
      <w:r w:rsidR="00161972">
        <w:t xml:space="preserve"> a</w:t>
      </w:r>
      <w:r w:rsidRPr="002B61D2">
        <w:t xml:space="preserve"> young </w:t>
      </w:r>
      <w:r w:rsidR="00161972">
        <w:t>male</w:t>
      </w:r>
      <w:r w:rsidRPr="002B61D2">
        <w:t xml:space="preserve"> toward what is conventional</w:t>
      </w:r>
      <w:r w:rsidR="00FA42DF">
        <w:t xml:space="preserve"> and prudent</w:t>
      </w:r>
      <w:r w:rsidRPr="002B61D2">
        <w:t xml:space="preserve">. </w:t>
      </w:r>
      <w:r>
        <w:t>It</w:t>
      </w:r>
      <w:r w:rsidR="00161972">
        <w:t>s</w:t>
      </w:r>
      <w:r w:rsidRPr="002B61D2">
        <w:t xml:space="preserve"> </w:t>
      </w:r>
      <w:r w:rsidRPr="002B61D2">
        <w:rPr>
          <w:lang w:bidi="en-US"/>
        </w:rPr>
        <w:t>addresse</w:t>
      </w:r>
      <w:r w:rsidR="00161972">
        <w:rPr>
          <w:lang w:bidi="en-US"/>
        </w:rPr>
        <w:t>e</w:t>
      </w:r>
      <w:r w:rsidRPr="002B61D2">
        <w:rPr>
          <w:lang w:bidi="en-US"/>
        </w:rPr>
        <w:t xml:space="preserve"> is being </w:t>
      </w:r>
      <w:r w:rsidRPr="0005113F">
        <w:rPr>
          <w:lang w:bidi="en-US"/>
        </w:rPr>
        <w:t>groomed</w:t>
      </w:r>
      <w:r w:rsidRPr="002B61D2">
        <w:rPr>
          <w:lang w:bidi="en-US"/>
        </w:rPr>
        <w:t xml:space="preserve"> to govern a household, and perhaps even</w:t>
      </w:r>
      <w:r w:rsidR="00161972">
        <w:rPr>
          <w:lang w:bidi="en-US"/>
        </w:rPr>
        <w:t xml:space="preserve"> to</w:t>
      </w:r>
      <w:r w:rsidRPr="002B61D2">
        <w:rPr>
          <w:lang w:bidi="en-US"/>
        </w:rPr>
        <w:t xml:space="preserve"> </w:t>
      </w:r>
      <w:r w:rsidR="00161972">
        <w:rPr>
          <w:lang w:bidi="en-US"/>
        </w:rPr>
        <w:t xml:space="preserve">serve </w:t>
      </w:r>
      <w:r w:rsidRPr="002B61D2">
        <w:rPr>
          <w:lang w:bidi="en-US"/>
        </w:rPr>
        <w:t>in the king</w:t>
      </w:r>
      <w:r w:rsidRPr="00B45606">
        <w:rPr>
          <w:lang w:bidi="en-US"/>
        </w:rPr>
        <w:t>’s c</w:t>
      </w:r>
      <w:r w:rsidRPr="002B61D2">
        <w:rPr>
          <w:lang w:bidi="en-US"/>
        </w:rPr>
        <w:t>ourt.</w:t>
      </w:r>
      <w:r w:rsidR="00FF7A0B">
        <w:rPr>
          <w:lang w:bidi="en-US"/>
        </w:rPr>
        <w:t xml:space="preserve"> (The book</w:t>
      </w:r>
      <w:r w:rsidR="00FF7A0B" w:rsidRPr="00B45606">
        <w:rPr>
          <w:lang w:bidi="en-US"/>
        </w:rPr>
        <w:t>’s l</w:t>
      </w:r>
      <w:r w:rsidR="00FF7A0B">
        <w:rPr>
          <w:lang w:bidi="en-US"/>
        </w:rPr>
        <w:t>iterary conceit does not</w:t>
      </w:r>
      <w:r w:rsidR="00FF7A0B" w:rsidRPr="002B61D2">
        <w:rPr>
          <w:lang w:bidi="en-US"/>
        </w:rPr>
        <w:t xml:space="preserve"> imply</w:t>
      </w:r>
      <w:r w:rsidR="00FF7A0B">
        <w:rPr>
          <w:lang w:bidi="en-US"/>
        </w:rPr>
        <w:t>, however,</w:t>
      </w:r>
      <w:r w:rsidR="00FF7A0B" w:rsidRPr="002B61D2">
        <w:rPr>
          <w:lang w:bidi="en-US"/>
        </w:rPr>
        <w:t xml:space="preserve"> that only males were deemed worthy of wisdom education</w:t>
      </w:r>
      <w:r w:rsidR="00FF7A0B">
        <w:rPr>
          <w:lang w:bidi="en-US"/>
        </w:rPr>
        <w:t xml:space="preserve"> in ancient Israel</w:t>
      </w:r>
      <w:r w:rsidR="00FF7A0B" w:rsidRPr="002B61D2">
        <w:rPr>
          <w:lang w:bidi="en-US"/>
        </w:rPr>
        <w:t>.</w:t>
      </w:r>
      <w:r w:rsidR="00FF7A0B">
        <w:rPr>
          <w:lang w:bidi="en-US"/>
        </w:rPr>
        <w:t>)</w:t>
      </w:r>
      <w:r w:rsidRPr="002B61D2">
        <w:rPr>
          <w:lang w:bidi="en-US"/>
        </w:rPr>
        <w:t xml:space="preserve"> </w:t>
      </w:r>
      <w:r w:rsidR="00161972">
        <w:rPr>
          <w:lang w:bidi="en-US"/>
        </w:rPr>
        <w:t>In</w:t>
      </w:r>
      <w:r w:rsidR="003B32B2">
        <w:rPr>
          <w:lang w:bidi="en-US"/>
        </w:rPr>
        <w:t xml:space="preserve"> light of the fact that this book</w:t>
      </w:r>
      <w:r w:rsidR="003B32B2" w:rsidRPr="00B45606">
        <w:rPr>
          <w:lang w:bidi="en-US"/>
        </w:rPr>
        <w:t>’s d</w:t>
      </w:r>
      <w:r w:rsidR="003B32B2" w:rsidRPr="002B61D2">
        <w:rPr>
          <w:lang w:bidi="en-US"/>
        </w:rPr>
        <w:t>ramatic voice is directed at a young man</w:t>
      </w:r>
      <w:r w:rsidR="003B32B2">
        <w:rPr>
          <w:lang w:bidi="en-US"/>
        </w:rPr>
        <w:t>,</w:t>
      </w:r>
      <w:r w:rsidR="00161972">
        <w:rPr>
          <w:lang w:bidi="en-US"/>
        </w:rPr>
        <w:t xml:space="preserve"> </w:t>
      </w:r>
      <w:r w:rsidR="003B32B2">
        <w:rPr>
          <w:lang w:bidi="en-US"/>
        </w:rPr>
        <w:t>in RJPS</w:t>
      </w:r>
      <w:r w:rsidR="00E507D5">
        <w:rPr>
          <w:lang w:bidi="en-US"/>
        </w:rPr>
        <w:t xml:space="preserve"> many</w:t>
      </w:r>
      <w:r w:rsidR="00373D4D">
        <w:rPr>
          <w:lang w:bidi="en-US"/>
        </w:rPr>
        <w:t xml:space="preserve"> </w:t>
      </w:r>
      <w:r w:rsidR="003B32B2">
        <w:rPr>
          <w:lang w:bidi="en-US"/>
        </w:rPr>
        <w:t>referring expressions that did not require a ma</w:t>
      </w:r>
      <w:r w:rsidR="005723D5">
        <w:rPr>
          <w:lang w:bidi="en-US"/>
        </w:rPr>
        <w:t>nly</w:t>
      </w:r>
      <w:r w:rsidR="003B32B2">
        <w:rPr>
          <w:lang w:bidi="en-US"/>
        </w:rPr>
        <w:t xml:space="preserve"> rendering</w:t>
      </w:r>
      <w:r w:rsidR="00E507D5">
        <w:rPr>
          <w:lang w:bidi="en-US"/>
        </w:rPr>
        <w:t xml:space="preserve"> (according to the criteria stated elsewhere)</w:t>
      </w:r>
      <w:r w:rsidR="003B32B2">
        <w:rPr>
          <w:lang w:bidi="en-US"/>
        </w:rPr>
        <w:t xml:space="preserve"> nonetheless </w:t>
      </w:r>
      <w:r w:rsidR="00DB5493">
        <w:rPr>
          <w:lang w:bidi="en-US"/>
        </w:rPr>
        <w:t>received</w:t>
      </w:r>
      <w:r w:rsidR="003B32B2">
        <w:rPr>
          <w:lang w:bidi="en-US"/>
        </w:rPr>
        <w:t xml:space="preserve"> one</w:t>
      </w:r>
      <w:r w:rsidR="00E507D5">
        <w:rPr>
          <w:lang w:bidi="en-US"/>
        </w:rPr>
        <w:t xml:space="preserve">. In short, </w:t>
      </w:r>
      <w:r w:rsidR="005723D5">
        <w:rPr>
          <w:lang w:bidi="en-US"/>
        </w:rPr>
        <w:t>for</w:t>
      </w:r>
      <w:r w:rsidR="00E507D5">
        <w:rPr>
          <w:lang w:bidi="en-US"/>
        </w:rPr>
        <w:t xml:space="preserve"> Proverbs, </w:t>
      </w:r>
      <w:r w:rsidR="005723D5">
        <w:rPr>
          <w:lang w:bidi="en-US"/>
        </w:rPr>
        <w:t xml:space="preserve">RJPS </w:t>
      </w:r>
      <w:r w:rsidR="00DB5493">
        <w:rPr>
          <w:lang w:bidi="en-US"/>
        </w:rPr>
        <w:t>tended to</w:t>
      </w:r>
      <w:r w:rsidR="005723D5">
        <w:rPr>
          <w:lang w:bidi="en-US"/>
        </w:rPr>
        <w:t xml:space="preserve"> favor</w:t>
      </w:r>
      <w:r w:rsidR="00E507D5">
        <w:rPr>
          <w:lang w:bidi="en-US"/>
        </w:rPr>
        <w:t xml:space="preserve"> clear and concise poetic expression over strict gender accuracy</w:t>
      </w:r>
      <w:r w:rsidR="00373D4D" w:rsidRPr="002B61D2">
        <w:rPr>
          <w:lang w:bidi="en-US"/>
        </w:rPr>
        <w:t>.</w:t>
      </w:r>
      <w:r w:rsidRPr="002B61D2">
        <w:rPr>
          <w:lang w:bidi="en-US"/>
        </w:rPr>
        <w:t xml:space="preserve"> </w:t>
      </w:r>
    </w:p>
  </w:footnote>
  <w:footnote w:id="23">
    <w:p w14:paraId="10B84BA8" w14:textId="2F9B4D75" w:rsidR="009A1A47" w:rsidRPr="009A1A47" w:rsidRDefault="009A1A47">
      <w:pPr>
        <w:pStyle w:val="FootnoteText"/>
      </w:pPr>
      <w:r>
        <w:rPr>
          <w:rStyle w:val="FootnoteReference"/>
        </w:rPr>
        <w:footnoteRef/>
      </w:r>
      <w:r>
        <w:t xml:space="preserve"> See the </w:t>
      </w:r>
      <w:r w:rsidR="00DB5493">
        <w:t xml:space="preserve">extended </w:t>
      </w:r>
      <w:r>
        <w:t xml:space="preserve">discussion of </w:t>
      </w:r>
      <w:r w:rsidRPr="00B45606">
        <w:t xml:space="preserve">Gen. 22.24 </w:t>
      </w:r>
      <w:r>
        <w:t xml:space="preserve">in the </w:t>
      </w:r>
      <w:r w:rsidR="00DB5493">
        <w:t>p</w:t>
      </w:r>
      <w:r>
        <w:t>reface to</w:t>
      </w:r>
      <w:r w:rsidR="007F4CBE">
        <w:t xml:space="preserve"> Stein,</w:t>
      </w:r>
      <w:r>
        <w:t xml:space="preserve"> </w:t>
      </w:r>
      <w:r>
        <w:rPr>
          <w:i/>
          <w:iCs/>
        </w:rPr>
        <w:t>The Contemporary Torah</w:t>
      </w:r>
      <w:r>
        <w:t>.</w:t>
      </w:r>
    </w:p>
  </w:footnote>
  <w:footnote w:id="24">
    <w:p w14:paraId="1502B5E9" w14:textId="0B5A6872" w:rsidR="00F00BBB" w:rsidRDefault="00F00BBB" w:rsidP="00F00BBB">
      <w:pPr>
        <w:pStyle w:val="FootnoteText"/>
      </w:pPr>
      <w:r>
        <w:rPr>
          <w:rStyle w:val="FootnoteReference"/>
        </w:rPr>
        <w:footnoteRef/>
      </w:r>
      <w:r>
        <w:t xml:space="preserve"> </w:t>
      </w:r>
      <w:r w:rsidR="002B7D33">
        <w:t>On</w:t>
      </w:r>
      <w:r w:rsidR="00C80F61">
        <w:t xml:space="preserve"> the concept of a</w:t>
      </w:r>
      <w:r w:rsidR="002B7D33">
        <w:t xml:space="preserve"> situating noun, see</w:t>
      </w:r>
      <w:r w:rsidR="00AD7CB9">
        <w:t xml:space="preserve"> above under</w:t>
      </w:r>
      <w:r w:rsidR="002B7D33">
        <w:t xml:space="preserve"> </w:t>
      </w:r>
      <w:r w:rsidR="00244D66">
        <w:t>“</w:t>
      </w:r>
      <w:r w:rsidR="00AD7CB9" w:rsidRPr="00AD7CB9">
        <w:rPr>
          <w:i/>
          <w:iCs/>
        </w:rPr>
        <w:t>Man</w:t>
      </w:r>
      <w:r w:rsidR="00AD7CB9">
        <w:t xml:space="preserve"> and Its Special Function</w:t>
      </w:r>
      <w:r w:rsidR="002B7D33">
        <w:t>.</w:t>
      </w:r>
      <w:r w:rsidR="00244D66">
        <w:t>”</w:t>
      </w:r>
    </w:p>
  </w:footnote>
  <w:footnote w:id="25">
    <w:p w14:paraId="0F7B97FD" w14:textId="04FF0AAF" w:rsidR="00C27795" w:rsidRDefault="00C27795" w:rsidP="00C27795">
      <w:pPr>
        <w:pStyle w:val="FootnoteText"/>
      </w:pPr>
      <w:r>
        <w:rPr>
          <w:rStyle w:val="FootnoteReference"/>
        </w:rPr>
        <w:footnoteRef/>
      </w:r>
      <w:r>
        <w:t xml:space="preserve"> </w:t>
      </w:r>
      <w:r w:rsidR="001F1F0F">
        <w:t xml:space="preserve">Relative to the Hebrew word order in this verbless clause, </w:t>
      </w:r>
      <w:r>
        <w:t xml:space="preserve">NJPS </w:t>
      </w:r>
      <w:r w:rsidR="001F1F0F">
        <w:t>transposed</w:t>
      </w:r>
      <w:r>
        <w:t xml:space="preserve"> the </w:t>
      </w:r>
      <w:r w:rsidR="001F1F0F">
        <w:t>subject and the predicate</w:t>
      </w:r>
      <w:r>
        <w:t xml:space="preserve"> for the sake of good English idiom.</w:t>
      </w:r>
    </w:p>
  </w:footnote>
  <w:footnote w:id="26">
    <w:p w14:paraId="2E821318" w14:textId="1823BF7E" w:rsidR="00776B89" w:rsidRDefault="00776B89" w:rsidP="00776B89">
      <w:pPr>
        <w:pStyle w:val="FootnoteText"/>
      </w:pPr>
      <w:r>
        <w:rPr>
          <w:rStyle w:val="FootnoteReference"/>
        </w:rPr>
        <w:footnoteRef/>
      </w:r>
      <w:r>
        <w:t xml:space="preserve"> </w:t>
      </w:r>
      <w:r>
        <w:rPr>
          <w:lang w:val="en-GB"/>
        </w:rPr>
        <w:t xml:space="preserve">Tellingly, </w:t>
      </w:r>
      <w:r w:rsidRPr="00097315">
        <w:rPr>
          <w:rFonts w:hAnsi="SBL BibLit" w:cs="SBL BibLit"/>
          <w:sz w:val="28"/>
          <w:szCs w:val="22"/>
          <w:rtl/>
        </w:rPr>
        <w:t>אִישׁ</w:t>
      </w:r>
      <w:r w:rsidRPr="00097315">
        <w:rPr>
          <w:rFonts w:hAnsi="SBL BibLit" w:cs="SBL BibLit"/>
          <w:sz w:val="28"/>
          <w:szCs w:val="22"/>
        </w:rPr>
        <w:t xml:space="preserve"> </w:t>
      </w:r>
      <w:r>
        <w:t>is employed hundreds of times for situating purposes while giving</w:t>
      </w:r>
      <w:r w:rsidRPr="008E4EBB">
        <w:t xml:space="preserve"> no </w:t>
      </w:r>
      <w:r>
        <w:t>useful</w:t>
      </w:r>
      <w:r w:rsidRPr="008E4EBB">
        <w:t xml:space="preserve"> information</w:t>
      </w:r>
      <w:r>
        <w:t xml:space="preserve"> about its referent</w:t>
      </w:r>
      <w:r w:rsidRPr="00B45606">
        <w:t>’s f</w:t>
      </w:r>
      <w:r w:rsidRPr="009D1313">
        <w:t>eatures</w:t>
      </w:r>
      <w:r>
        <w:t xml:space="preserve"> (let alone their gender). Such usages do not affect translation, but they provide vital clues to how </w:t>
      </w:r>
      <w:r w:rsidRPr="003628FE">
        <w:rPr>
          <w:rFonts w:hAnsi="SBL BibLit" w:cs="SBL BibLit"/>
          <w:sz w:val="28"/>
          <w:szCs w:val="22"/>
          <w:rtl/>
        </w:rPr>
        <w:t>אִישׁ</w:t>
      </w:r>
      <w:r>
        <w:t xml:space="preserve"> functions in Biblical Hebrew. Namely, it is</w:t>
      </w:r>
      <w:r w:rsidRPr="00C03A20">
        <w:t xml:space="preserve"> employ</w:t>
      </w:r>
      <w:r>
        <w:t>ed</w:t>
      </w:r>
      <w:r>
        <w:rPr>
          <w:rFonts w:hAnsi="SBL BibLit" w:cs="SBL BibLit"/>
        </w:rPr>
        <w:t xml:space="preserve"> to carry out the same communicative functions as </w:t>
      </w:r>
      <w:r>
        <w:rPr>
          <w:rFonts w:hAnsi="SBL BibLit" w:cs="SBL BibLit"/>
          <w:i/>
          <w:iCs/>
        </w:rPr>
        <w:t>man</w:t>
      </w:r>
      <w:r>
        <w:rPr>
          <w:rFonts w:hAnsi="SBL BibLit" w:cs="SBL BibLit"/>
        </w:rPr>
        <w:t>, albeit expressed in even more ways</w:t>
      </w:r>
      <w:r w:rsidRPr="00C03A20">
        <w:t>.</w:t>
      </w:r>
    </w:p>
  </w:footnote>
  <w:footnote w:id="27">
    <w:p w14:paraId="4DDF6A08" w14:textId="77777777" w:rsidR="00776B89" w:rsidRDefault="00776B89" w:rsidP="00776B89">
      <w:pPr>
        <w:pStyle w:val="FootnoteText"/>
      </w:pPr>
      <w:r>
        <w:rPr>
          <w:rStyle w:val="FootnoteReference"/>
        </w:rPr>
        <w:footnoteRef/>
      </w:r>
      <w:r>
        <w:t xml:space="preserve"> Namely</w:t>
      </w:r>
      <w:r w:rsidRPr="00802577">
        <w:t xml:space="preserve">, </w:t>
      </w:r>
      <w:r w:rsidRPr="00E473AB">
        <w:rPr>
          <w:rFonts w:hAnsi="SBL BibLit" w:cs="SBL BibLit"/>
          <w:sz w:val="28"/>
          <w:szCs w:val="22"/>
          <w:rtl/>
        </w:rPr>
        <w:t>אִישׁ</w:t>
      </w:r>
      <w:r w:rsidRPr="00802577">
        <w:t xml:space="preserve"> is not used as a label when the depicted situation is already established</w:t>
      </w:r>
      <w:r>
        <w:t xml:space="preserve"> in the discourse</w:t>
      </w:r>
      <w:r w:rsidRPr="00802577">
        <w:t>, the participants are construed as given, and the speaker</w:t>
      </w:r>
      <w:r w:rsidRPr="00B45606">
        <w:t>’s a</w:t>
      </w:r>
      <w:r w:rsidRPr="00802577">
        <w:t>ttention is oriented toward depict</w:t>
      </w:r>
      <w:r>
        <w:t>ing</w:t>
      </w:r>
      <w:r w:rsidRPr="00802577">
        <w:t xml:space="preserve"> </w:t>
      </w:r>
      <w:r>
        <w:t xml:space="preserve">an </w:t>
      </w:r>
      <w:r w:rsidRPr="00802577">
        <w:t>acti</w:t>
      </w:r>
      <w:r>
        <w:t>vity</w:t>
      </w:r>
      <w:r w:rsidRPr="00802577">
        <w:t>.</w:t>
      </w:r>
    </w:p>
  </w:footnote>
  <w:footnote w:id="28">
    <w:p w14:paraId="7D2FFD61" w14:textId="1B32B442" w:rsidR="00170762" w:rsidRDefault="00DE63CD" w:rsidP="00170762">
      <w:pPr>
        <w:pStyle w:val="FootnoteText"/>
      </w:pPr>
      <w:r>
        <w:rPr>
          <w:rStyle w:val="FootnoteReference"/>
        </w:rPr>
        <w:footnoteRef/>
      </w:r>
      <w:r>
        <w:t xml:space="preserve"> </w:t>
      </w:r>
      <w:r w:rsidR="00170762">
        <w:t>I</w:t>
      </w:r>
      <w:r w:rsidR="004A1752" w:rsidRPr="00C03A20">
        <w:t>n the Hebrew Bible</w:t>
      </w:r>
      <w:r w:rsidR="00170762" w:rsidRPr="00B45606">
        <w:t>’s n</w:t>
      </w:r>
      <w:r w:rsidR="00170762">
        <w:t>on-specific</w:t>
      </w:r>
      <w:r w:rsidR="00A6218E">
        <w:t xml:space="preserve"> </w:t>
      </w:r>
      <w:r w:rsidR="008F0F45">
        <w:t>singular</w:t>
      </w:r>
      <w:r w:rsidR="00170762">
        <w:t xml:space="preserve"> references,</w:t>
      </w:r>
      <w:r w:rsidR="004A1752" w:rsidRPr="00C03A20">
        <w:t xml:space="preserve"> </w:t>
      </w:r>
      <w:r w:rsidR="005855FD" w:rsidRPr="00E473AB">
        <w:rPr>
          <w:rFonts w:hAnsi="SBL BibLit" w:cs="SBL BibLit"/>
          <w:sz w:val="28"/>
          <w:szCs w:val="22"/>
          <w:rtl/>
        </w:rPr>
        <w:t>אִישׁ</w:t>
      </w:r>
      <w:r w:rsidR="005855FD" w:rsidRPr="00802577">
        <w:t xml:space="preserve"> </w:t>
      </w:r>
      <w:r w:rsidR="00A16CD5">
        <w:rPr>
          <w:rFonts w:asciiTheme="majorBidi" w:hAnsiTheme="majorBidi" w:cstheme="majorBidi"/>
          <w:szCs w:val="22"/>
        </w:rPr>
        <w:t>can be used to regard a</w:t>
      </w:r>
      <w:r w:rsidR="004A1752" w:rsidRPr="00DE63CD">
        <w:rPr>
          <w:rFonts w:asciiTheme="majorBidi" w:hAnsiTheme="majorBidi" w:cstheme="majorBidi"/>
          <w:szCs w:val="22"/>
        </w:rPr>
        <w:t xml:space="preserve"> referent</w:t>
      </w:r>
      <w:r w:rsidR="004A1752">
        <w:rPr>
          <w:rFonts w:asciiTheme="majorBidi" w:hAnsiTheme="majorBidi" w:cstheme="majorBidi"/>
          <w:szCs w:val="22"/>
        </w:rPr>
        <w:t xml:space="preserve"> in terms of the </w:t>
      </w:r>
      <w:r w:rsidR="00170762" w:rsidRPr="00C03A20">
        <w:t>attributes of gender and age</w:t>
      </w:r>
      <w:r w:rsidR="00A16CD5">
        <w:t>—but</w:t>
      </w:r>
      <w:r w:rsidR="004A1752">
        <w:rPr>
          <w:rFonts w:asciiTheme="majorBidi" w:hAnsiTheme="majorBidi" w:cstheme="majorBidi"/>
          <w:szCs w:val="22"/>
        </w:rPr>
        <w:t xml:space="preserve"> only</w:t>
      </w:r>
      <w:r w:rsidR="00A16CD5">
        <w:rPr>
          <w:rFonts w:asciiTheme="majorBidi" w:hAnsiTheme="majorBidi" w:cstheme="majorBidi"/>
          <w:szCs w:val="22"/>
        </w:rPr>
        <w:t xml:space="preserve"> if</w:t>
      </w:r>
      <w:r w:rsidR="004A1752">
        <w:rPr>
          <w:rFonts w:asciiTheme="majorBidi" w:hAnsiTheme="majorBidi" w:cstheme="majorBidi"/>
          <w:szCs w:val="22"/>
        </w:rPr>
        <w:t xml:space="preserve"> </w:t>
      </w:r>
      <w:r w:rsidR="00A16CD5">
        <w:rPr>
          <w:rFonts w:asciiTheme="majorBidi" w:hAnsiTheme="majorBidi" w:cstheme="majorBidi"/>
          <w:szCs w:val="22"/>
        </w:rPr>
        <w:t>it</w:t>
      </w:r>
      <w:r w:rsidR="004A1752" w:rsidRPr="00DE63CD">
        <w:rPr>
          <w:rFonts w:asciiTheme="majorBidi" w:hAnsiTheme="majorBidi" w:cstheme="majorBidi"/>
          <w:szCs w:val="22"/>
        </w:rPr>
        <w:t xml:space="preserve"> is counterposed with a term that specifically denotes women or children.</w:t>
      </w:r>
      <w:r w:rsidR="004A1752">
        <w:rPr>
          <w:rFonts w:asciiTheme="majorBidi" w:hAnsiTheme="majorBidi" w:cstheme="majorBidi"/>
          <w:szCs w:val="22"/>
        </w:rPr>
        <w:t xml:space="preserve"> Similarly, </w:t>
      </w:r>
      <w:r w:rsidR="004A1752" w:rsidRPr="00E473AB">
        <w:rPr>
          <w:rFonts w:hAnsi="SBL BibLit" w:cs="SBL BibLit"/>
          <w:sz w:val="28"/>
          <w:szCs w:val="22"/>
          <w:rtl/>
        </w:rPr>
        <w:t>אִישׁ</w:t>
      </w:r>
      <w:r w:rsidR="004A1752">
        <w:rPr>
          <w:rFonts w:asciiTheme="majorBidi" w:hAnsiTheme="majorBidi" w:cstheme="majorBidi"/>
          <w:szCs w:val="22"/>
        </w:rPr>
        <w:t xml:space="preserve"> </w:t>
      </w:r>
      <w:r w:rsidR="00A16CD5">
        <w:rPr>
          <w:rFonts w:asciiTheme="majorBidi" w:hAnsiTheme="majorBidi" w:cstheme="majorBidi"/>
          <w:szCs w:val="22"/>
        </w:rPr>
        <w:t>can be</w:t>
      </w:r>
      <w:r w:rsidR="004A1752">
        <w:rPr>
          <w:rFonts w:asciiTheme="majorBidi" w:hAnsiTheme="majorBidi" w:cstheme="majorBidi"/>
          <w:szCs w:val="22"/>
        </w:rPr>
        <w:t xml:space="preserve"> used to </w:t>
      </w:r>
      <w:r w:rsidR="00A16CD5">
        <w:rPr>
          <w:rFonts w:asciiTheme="majorBidi" w:hAnsiTheme="majorBidi" w:cstheme="majorBidi"/>
          <w:szCs w:val="22"/>
        </w:rPr>
        <w:t xml:space="preserve">pointedly </w:t>
      </w:r>
      <w:r w:rsidR="004A1752">
        <w:rPr>
          <w:rFonts w:asciiTheme="majorBidi" w:hAnsiTheme="majorBidi" w:cstheme="majorBidi"/>
          <w:szCs w:val="22"/>
        </w:rPr>
        <w:t>regard its referent as a human being</w:t>
      </w:r>
      <w:r w:rsidR="00A16CD5">
        <w:rPr>
          <w:rFonts w:asciiTheme="majorBidi" w:hAnsiTheme="majorBidi" w:cstheme="majorBidi"/>
          <w:szCs w:val="22"/>
        </w:rPr>
        <w:t>—but</w:t>
      </w:r>
      <w:r w:rsidR="004A1752">
        <w:rPr>
          <w:rFonts w:asciiTheme="majorBidi" w:hAnsiTheme="majorBidi" w:cstheme="majorBidi"/>
          <w:szCs w:val="22"/>
        </w:rPr>
        <w:t xml:space="preserve"> only when placed in contrast with deities or animals.</w:t>
      </w:r>
      <w:r w:rsidR="00170762">
        <w:rPr>
          <w:rFonts w:asciiTheme="majorBidi" w:hAnsiTheme="majorBidi" w:cstheme="majorBidi"/>
          <w:szCs w:val="22"/>
        </w:rPr>
        <w:t xml:space="preserve"> Such </w:t>
      </w:r>
      <w:r w:rsidR="00170762">
        <w:t>usages comprise</w:t>
      </w:r>
      <w:r w:rsidR="00170762" w:rsidRPr="00C03A20">
        <w:t xml:space="preserve"> a </w:t>
      </w:r>
      <w:r w:rsidR="00170762">
        <w:t xml:space="preserve">small minority of the total instances. </w:t>
      </w:r>
      <w:r w:rsidR="00830B32">
        <w:t>That being said</w:t>
      </w:r>
      <w:r w:rsidR="00170762" w:rsidRPr="00C03A20">
        <w:t xml:space="preserve">, the meaning of </w:t>
      </w:r>
      <w:r w:rsidR="00170762" w:rsidRPr="0044700D">
        <w:rPr>
          <w:rFonts w:hAnsi="SBL BibLit" w:cs="SBL BibLit"/>
          <w:sz w:val="28"/>
          <w:szCs w:val="22"/>
          <w:rtl/>
        </w:rPr>
        <w:t>אִישׁ</w:t>
      </w:r>
      <w:r w:rsidR="00170762" w:rsidRPr="0044700D">
        <w:rPr>
          <w:sz w:val="28"/>
          <w:szCs w:val="24"/>
        </w:rPr>
        <w:t xml:space="preserve"> </w:t>
      </w:r>
      <w:r w:rsidR="00170762" w:rsidRPr="00C03A20">
        <w:t>evolved over time</w:t>
      </w:r>
      <w:r w:rsidR="00830B32">
        <w:t>, l</w:t>
      </w:r>
      <w:r w:rsidR="00830B32" w:rsidRPr="00C03A20">
        <w:t xml:space="preserve">ike </w:t>
      </w:r>
      <w:r w:rsidR="00830B32" w:rsidRPr="00C03A20">
        <w:rPr>
          <w:i/>
          <w:iCs/>
        </w:rPr>
        <w:t>man</w:t>
      </w:r>
      <w:r w:rsidR="00830B32">
        <w:t xml:space="preserve"> in English</w:t>
      </w:r>
      <w:r w:rsidR="00170762" w:rsidRPr="00C03A20">
        <w:t xml:space="preserve">. </w:t>
      </w:r>
      <w:proofErr w:type="spellStart"/>
      <w:r w:rsidR="00170762" w:rsidRPr="00C03A20">
        <w:t>Postbiblically</w:t>
      </w:r>
      <w:proofErr w:type="spellEnd"/>
      <w:r w:rsidR="00170762">
        <w:t>,</w:t>
      </w:r>
      <w:r w:rsidR="00170762" w:rsidRPr="00C03A20">
        <w:t xml:space="preserve"> it came to be </w:t>
      </w:r>
      <w:r w:rsidR="008902A8">
        <w:t>understood</w:t>
      </w:r>
      <w:r w:rsidR="008902A8" w:rsidRPr="00C03A20">
        <w:t xml:space="preserve"> </w:t>
      </w:r>
      <w:r w:rsidR="00170762" w:rsidRPr="00C03A20">
        <w:t>as mainly conveying gender</w:t>
      </w:r>
      <w:r w:rsidR="00A16CD5">
        <w:t>,</w:t>
      </w:r>
      <w:r w:rsidR="00170762" w:rsidRPr="00C03A20">
        <w:t xml:space="preserve"> age</w:t>
      </w:r>
      <w:r w:rsidR="00A16CD5">
        <w:t>, and humanness</w:t>
      </w:r>
      <w:r w:rsidR="00170762" w:rsidRPr="00C03A20">
        <w:t xml:space="preserve"> (i.e., adult male</w:t>
      </w:r>
      <w:r w:rsidR="00A16CD5">
        <w:t xml:space="preserve"> person</w:t>
      </w:r>
      <w:r w:rsidR="00170762" w:rsidRPr="00C03A20">
        <w:t>).</w:t>
      </w:r>
    </w:p>
  </w:footnote>
  <w:footnote w:id="29">
    <w:p w14:paraId="53E82175" w14:textId="7D183B27" w:rsidR="00776B89" w:rsidRDefault="00776B89">
      <w:pPr>
        <w:pStyle w:val="FootnoteText"/>
      </w:pPr>
      <w:r>
        <w:rPr>
          <w:rStyle w:val="FootnoteReference"/>
        </w:rPr>
        <w:footnoteRef/>
      </w:r>
      <w:r>
        <w:t xml:space="preserve"> The conventional view sees </w:t>
      </w:r>
      <w:r w:rsidRPr="0044700D">
        <w:rPr>
          <w:rFonts w:hAnsi="SBL BibLit" w:cs="SBL BibLit"/>
          <w:sz w:val="28"/>
          <w:szCs w:val="22"/>
          <w:rtl/>
        </w:rPr>
        <w:t>אִישׁ</w:t>
      </w:r>
      <w:r w:rsidRPr="0044700D">
        <w:rPr>
          <w:sz w:val="28"/>
          <w:szCs w:val="24"/>
        </w:rPr>
        <w:t xml:space="preserve"> </w:t>
      </w:r>
      <w:r>
        <w:t>as prototypically informing the audience that its referent is an adult male human being. Even so, that prototype is widely understood to account for only a minority of biblical attestations. That unusual state of affairs is attributed to one effect of a noun</w:t>
      </w:r>
      <w:r w:rsidRPr="00B45606">
        <w:t>’s f</w:t>
      </w:r>
      <w:r>
        <w:t xml:space="preserve">requent use—namely, a bleaching of its informational meaning. Reading with this conventional construal of </w:t>
      </w:r>
      <w:r w:rsidRPr="0044700D">
        <w:rPr>
          <w:rFonts w:hAnsi="SBL BibLit" w:cs="SBL BibLit"/>
          <w:sz w:val="28"/>
          <w:szCs w:val="22"/>
          <w:rtl/>
        </w:rPr>
        <w:t>אִישׁ</w:t>
      </w:r>
      <w:r>
        <w:t xml:space="preserve"> yields a reasonably informative and coherent text in about 90% of biblical cases.</w:t>
      </w:r>
    </w:p>
  </w:footnote>
  <w:footnote w:id="30">
    <w:p w14:paraId="6FA020C8" w14:textId="005B93B6" w:rsidR="00A02582" w:rsidRDefault="00A02582">
      <w:pPr>
        <w:pStyle w:val="FootnoteText"/>
      </w:pPr>
      <w:r>
        <w:rPr>
          <w:rStyle w:val="FootnoteReference"/>
        </w:rPr>
        <w:footnoteRef/>
      </w:r>
      <w:r>
        <w:t xml:space="preserve"> See discussion above under </w:t>
      </w:r>
      <w:r w:rsidR="00244D66">
        <w:t>“</w:t>
      </w:r>
      <w:r w:rsidRPr="00AD7CB9">
        <w:rPr>
          <w:i/>
          <w:iCs/>
        </w:rPr>
        <w:t>Man</w:t>
      </w:r>
      <w:r>
        <w:t xml:space="preserve"> and Its Special Function.</w:t>
      </w:r>
      <w:r w:rsidR="00244D66">
        <w:t>”</w:t>
      </w:r>
    </w:p>
  </w:footnote>
  <w:footnote w:id="31">
    <w:p w14:paraId="5D13C199" w14:textId="2F2971A3" w:rsidR="007E487B" w:rsidRDefault="007E487B" w:rsidP="007E487B">
      <w:pPr>
        <w:pStyle w:val="FootnoteText"/>
      </w:pPr>
      <w:r>
        <w:rPr>
          <w:rStyle w:val="FootnoteReference"/>
        </w:rPr>
        <w:footnoteRef/>
      </w:r>
      <w:r>
        <w:t xml:space="preserve"> </w:t>
      </w:r>
      <w:r w:rsidR="00385E53">
        <w:t>For other cases with this</w:t>
      </w:r>
      <w:r w:rsidR="007F2B2C">
        <w:t xml:space="preserve"> new</w:t>
      </w:r>
      <w:r w:rsidR="00385E53">
        <w:t xml:space="preserve"> rendering, see, e.g., Exod. 10.7; Num. 14.22</w:t>
      </w:r>
      <w:r w:rsidR="00E9489E">
        <w:t>, 38</w:t>
      </w:r>
      <w:r w:rsidR="00385E53">
        <w:t>;</w:t>
      </w:r>
      <w:r w:rsidR="00E9489E">
        <w:t xml:space="preserve"> 16.14.</w:t>
      </w:r>
      <w:r w:rsidR="00385E53">
        <w:t xml:space="preserve"> </w:t>
      </w:r>
      <w:r w:rsidR="00E9489E">
        <w:t>Other i</w:t>
      </w:r>
      <w:r>
        <w:t>nstances</w:t>
      </w:r>
      <w:r w:rsidR="003B60DE">
        <w:t xml:space="preserve"> where situation-oriented construal </w:t>
      </w:r>
      <w:r w:rsidR="00B95003">
        <w:t>has led</w:t>
      </w:r>
      <w:r w:rsidR="003B60DE">
        <w:t xml:space="preserve"> to a </w:t>
      </w:r>
      <w:r w:rsidR="006D4E5E">
        <w:t>changed</w:t>
      </w:r>
      <w:r w:rsidR="003B60DE">
        <w:t xml:space="preserve"> rendering</w:t>
      </w:r>
      <w:r>
        <w:t xml:space="preserve"> include</w:t>
      </w:r>
      <w:r w:rsidR="00B95003">
        <w:t>, e.g.,</w:t>
      </w:r>
      <w:r>
        <w:t xml:space="preserve"> Gen. 4</w:t>
      </w:r>
      <w:r w:rsidR="003B60DE">
        <w:t>.</w:t>
      </w:r>
      <w:r>
        <w:t>1, 23</w:t>
      </w:r>
      <w:r w:rsidR="00170FEC">
        <w:t>; 13.8</w:t>
      </w:r>
      <w:r w:rsidR="006A6B17">
        <w:t>; 19.9</w:t>
      </w:r>
      <w:r w:rsidR="00170FEC">
        <w:t xml:space="preserve">; </w:t>
      </w:r>
      <w:r w:rsidR="00D9623C">
        <w:t>Num. 15.32; Deut. 17.12</w:t>
      </w:r>
      <w:r w:rsidR="00B95003">
        <w:t xml:space="preserve"> (first instance)</w:t>
      </w:r>
      <w:r w:rsidR="00D9623C">
        <w:t xml:space="preserve">; 19.15; </w:t>
      </w:r>
      <w:r>
        <w:t>1 Sam. 1.11</w:t>
      </w:r>
      <w:r w:rsidR="004D693B">
        <w:t>; Ps. 4.3; 18.49</w:t>
      </w:r>
      <w:r>
        <w:t>.</w:t>
      </w:r>
    </w:p>
  </w:footnote>
  <w:footnote w:id="32">
    <w:p w14:paraId="7C0F7A06" w14:textId="1739426B" w:rsidR="007E487B" w:rsidRDefault="007E487B">
      <w:pPr>
        <w:pStyle w:val="FootnoteText"/>
      </w:pPr>
      <w:r>
        <w:rPr>
          <w:rStyle w:val="FootnoteReference"/>
        </w:rPr>
        <w:footnoteRef/>
      </w:r>
      <w:r>
        <w:t xml:space="preserve"> </w:t>
      </w:r>
      <w:r w:rsidR="004D693B">
        <w:t>For</w:t>
      </w:r>
      <w:r w:rsidR="00E67785">
        <w:t xml:space="preserve"> </w:t>
      </w:r>
      <w:r w:rsidR="006D4E5E">
        <w:t xml:space="preserve">such </w:t>
      </w:r>
      <w:r w:rsidR="00E67785">
        <w:t>footnot</w:t>
      </w:r>
      <w:r w:rsidR="003F1A2E">
        <w:t>es</w:t>
      </w:r>
      <w:r w:rsidR="004D693B">
        <w:t>,</w:t>
      </w:r>
      <w:r>
        <w:t xml:space="preserve"> </w:t>
      </w:r>
      <w:r w:rsidR="004D693B">
        <w:t>see</w:t>
      </w:r>
      <w:r w:rsidR="00B95003">
        <w:t>, e.g.,</w:t>
      </w:r>
      <w:r>
        <w:t xml:space="preserve"> </w:t>
      </w:r>
      <w:r w:rsidR="004D693B">
        <w:t xml:space="preserve">Gen. 9.20; 18.2; 32.25; </w:t>
      </w:r>
      <w:r w:rsidR="003F7DDA">
        <w:t xml:space="preserve">Num. 30.3; </w:t>
      </w:r>
      <w:r w:rsidR="00170FEC">
        <w:t xml:space="preserve">Deut. </w:t>
      </w:r>
      <w:r w:rsidR="00B95003">
        <w:t xml:space="preserve">1.17; </w:t>
      </w:r>
      <w:r w:rsidR="00170FEC">
        <w:t xml:space="preserve">29.9; </w:t>
      </w:r>
      <w:r>
        <w:t xml:space="preserve">1 Sam. </w:t>
      </w:r>
      <w:r w:rsidR="006A6B17">
        <w:t xml:space="preserve">2.33; 4.9; </w:t>
      </w:r>
      <w:r>
        <w:t>26.15; 1 Kgs. 2.2</w:t>
      </w:r>
      <w:r w:rsidR="004D693B">
        <w:t>; Ezek. 23.45; Prov. 7.19; 30.2</w:t>
      </w:r>
      <w:r>
        <w:t>.</w:t>
      </w:r>
    </w:p>
  </w:footnote>
  <w:footnote w:id="33">
    <w:p w14:paraId="237D78B6" w14:textId="219BB15A" w:rsidR="00C66A4B" w:rsidRPr="00C66A4B" w:rsidRDefault="00C66A4B" w:rsidP="00073408">
      <w:pPr>
        <w:pStyle w:val="FootnoteText"/>
        <w:rPr>
          <w:iCs/>
        </w:rPr>
      </w:pPr>
      <w:r>
        <w:rPr>
          <w:rStyle w:val="FootnoteReference"/>
        </w:rPr>
        <w:footnoteRef/>
      </w:r>
      <w:r w:rsidR="00073408">
        <w:t xml:space="preserve"> “</w:t>
      </w:r>
      <w:proofErr w:type="gramStart"/>
      <w:r w:rsidR="00073408" w:rsidRPr="00073408">
        <w:t>man</w:t>
      </w:r>
      <w:proofErr w:type="gramEnd"/>
      <w:r w:rsidR="00073408" w:rsidRPr="00073408">
        <w:t>, n.1 (and int.)</w:t>
      </w:r>
      <w:r w:rsidR="00073408">
        <w:t xml:space="preserve">,” </w:t>
      </w:r>
      <w:r w:rsidR="00073408" w:rsidRPr="00073408">
        <w:rPr>
          <w:i/>
          <w:iCs/>
        </w:rPr>
        <w:t>Oxford English Dictionary</w:t>
      </w:r>
      <w:r w:rsidR="00073408">
        <w:t xml:space="preserve">, </w:t>
      </w:r>
      <w:proofErr w:type="spellStart"/>
      <w:r w:rsidR="00073408">
        <w:t>s.v.</w:t>
      </w:r>
      <w:proofErr w:type="spellEnd"/>
      <w:r w:rsidR="00073408">
        <w:t xml:space="preserve"> P2.t.</w:t>
      </w:r>
      <w:r w:rsidR="00073408" w:rsidRPr="00073408">
        <w:rPr>
          <w:iCs/>
        </w:rPr>
        <w:t xml:space="preserve"> </w:t>
      </w:r>
      <w:r w:rsidR="008B5CDB">
        <w:rPr>
          <w:iCs/>
        </w:rPr>
        <w:t>Another</w:t>
      </w:r>
      <w:r w:rsidR="00681FAE">
        <w:rPr>
          <w:iCs/>
        </w:rPr>
        <w:t xml:space="preserve"> </w:t>
      </w:r>
      <w:r w:rsidR="008B5CDB">
        <w:rPr>
          <w:iCs/>
        </w:rPr>
        <w:t>definition,</w:t>
      </w:r>
      <w:r w:rsidR="00681FAE">
        <w:rPr>
          <w:iCs/>
        </w:rPr>
        <w:t xml:space="preserve"> “a godly man</w:t>
      </w:r>
      <w:r w:rsidR="008B5CDB">
        <w:rPr>
          <w:iCs/>
        </w:rPr>
        <w:t>,</w:t>
      </w:r>
      <w:r w:rsidR="00681FAE">
        <w:rPr>
          <w:iCs/>
        </w:rPr>
        <w:t>”</w:t>
      </w:r>
      <w:r w:rsidR="00073408">
        <w:rPr>
          <w:iCs/>
        </w:rPr>
        <w:t xml:space="preserve"> </w:t>
      </w:r>
      <w:r w:rsidR="00681FAE">
        <w:rPr>
          <w:iCs/>
        </w:rPr>
        <w:t xml:space="preserve">as given in </w:t>
      </w:r>
      <w:r w:rsidR="00306D45" w:rsidRPr="00681FAE">
        <w:rPr>
          <w:i/>
          <w:iCs/>
        </w:rPr>
        <w:t>Merriam-Webster</w:t>
      </w:r>
      <w:r w:rsidR="00681FAE" w:rsidRPr="00B45606">
        <w:rPr>
          <w:i/>
          <w:iCs/>
        </w:rPr>
        <w:t>’</w:t>
      </w:r>
      <w:r w:rsidR="00306D45" w:rsidRPr="00B45606">
        <w:rPr>
          <w:i/>
          <w:iCs/>
        </w:rPr>
        <w:t>s U</w:t>
      </w:r>
      <w:r w:rsidR="00306D45" w:rsidRPr="00681FAE">
        <w:rPr>
          <w:i/>
          <w:iCs/>
        </w:rPr>
        <w:t>nabridged Dictionary</w:t>
      </w:r>
      <w:r w:rsidR="00306D45" w:rsidRPr="00681FAE">
        <w:rPr>
          <w:iCs/>
        </w:rPr>
        <w:t xml:space="preserve"> </w:t>
      </w:r>
      <w:r w:rsidR="00681FAE">
        <w:rPr>
          <w:iCs/>
        </w:rPr>
        <w:t>(</w:t>
      </w:r>
      <w:proofErr w:type="spellStart"/>
      <w:r w:rsidR="00681FAE">
        <w:rPr>
          <w:iCs/>
        </w:rPr>
        <w:t>s.v.</w:t>
      </w:r>
      <w:proofErr w:type="spellEnd"/>
      <w:r w:rsidR="00681FAE">
        <w:rPr>
          <w:iCs/>
        </w:rPr>
        <w:t xml:space="preserve"> </w:t>
      </w:r>
      <w:r w:rsidR="00681FAE" w:rsidRPr="00681FAE">
        <w:rPr>
          <w:iCs/>
        </w:rPr>
        <w:t>“man of God,” </w:t>
      </w:r>
      <w:r w:rsidR="00681FAE">
        <w:rPr>
          <w:iCs/>
        </w:rPr>
        <w:t>a</w:t>
      </w:r>
      <w:r w:rsidR="00306D45" w:rsidRPr="00681FAE">
        <w:rPr>
          <w:iCs/>
        </w:rPr>
        <w:t>ccessed 6/24/2022</w:t>
      </w:r>
      <w:r w:rsidR="00681FAE">
        <w:rPr>
          <w:iCs/>
        </w:rPr>
        <w:t xml:space="preserve">), is </w:t>
      </w:r>
      <w:r w:rsidR="008B5CDB">
        <w:rPr>
          <w:iCs/>
        </w:rPr>
        <w:t>equally</w:t>
      </w:r>
      <w:r w:rsidR="00681FAE">
        <w:rPr>
          <w:iCs/>
        </w:rPr>
        <w:t xml:space="preserve"> inapt for the Hebrew Bible</w:t>
      </w:r>
      <w:r w:rsidR="004617BA" w:rsidRPr="00B45606">
        <w:rPr>
          <w:iCs/>
        </w:rPr>
        <w:t>’</w:t>
      </w:r>
      <w:r w:rsidR="00681FAE" w:rsidRPr="00B45606">
        <w:rPr>
          <w:iCs/>
        </w:rPr>
        <w:t>s u</w:t>
      </w:r>
      <w:r w:rsidR="00681FAE">
        <w:rPr>
          <w:iCs/>
        </w:rPr>
        <w:t>sages</w:t>
      </w:r>
      <w:r w:rsidR="00306D45" w:rsidRPr="00681FAE">
        <w:rPr>
          <w:iCs/>
        </w:rPr>
        <w:t>.</w:t>
      </w:r>
      <w:r w:rsidR="00306D45">
        <w:rPr>
          <w:iCs/>
        </w:rPr>
        <w:t xml:space="preserve"> </w:t>
      </w:r>
    </w:p>
  </w:footnote>
  <w:footnote w:id="34">
    <w:p w14:paraId="727C083B" w14:textId="5F3C2C54" w:rsidR="00821B28" w:rsidRDefault="00821B28" w:rsidP="007A1EC1">
      <w:pPr>
        <w:pStyle w:val="FootnoteText"/>
      </w:pPr>
      <w:r>
        <w:rPr>
          <w:rStyle w:val="FootnoteReference"/>
        </w:rPr>
        <w:footnoteRef/>
      </w:r>
      <w:r>
        <w:t xml:space="preserve"> </w:t>
      </w:r>
      <w:r w:rsidR="0097432D">
        <w:t xml:space="preserve">The apostle Paul </w:t>
      </w:r>
      <w:r w:rsidR="009A3DBB">
        <w:t xml:space="preserve">was pointedly </w:t>
      </w:r>
      <w:r w:rsidR="0097432D">
        <w:t>employ</w:t>
      </w:r>
      <w:r w:rsidR="009A3DBB">
        <w:t>ing</w:t>
      </w:r>
      <w:r w:rsidR="0097432D" w:rsidRPr="0097432D">
        <w:t xml:space="preserve"> the </w:t>
      </w:r>
      <w:r w:rsidR="0097432D">
        <w:t xml:space="preserve">same </w:t>
      </w:r>
      <w:r w:rsidR="0097432D" w:rsidRPr="0097432D">
        <w:t>Greek term</w:t>
      </w:r>
      <w:r w:rsidR="0097432D">
        <w:t xml:space="preserve"> that the Septuagint (Old Greek) translation of the </w:t>
      </w:r>
      <w:r w:rsidR="00453FC8">
        <w:t xml:space="preserve">Hebrew </w:t>
      </w:r>
      <w:r w:rsidR="0097432D">
        <w:t>Bible</w:t>
      </w:r>
      <w:r w:rsidR="00453FC8" w:rsidRPr="00B45606">
        <w:t>’s b</w:t>
      </w:r>
      <w:r w:rsidR="00453FC8">
        <w:t>ooks</w:t>
      </w:r>
      <w:r w:rsidR="0097432D">
        <w:t xml:space="preserve"> </w:t>
      </w:r>
      <w:r w:rsidR="004617BA">
        <w:t xml:space="preserve">had </w:t>
      </w:r>
      <w:r w:rsidR="0097432D">
        <w:t>use</w:t>
      </w:r>
      <w:r w:rsidR="004617BA">
        <w:t>d</w:t>
      </w:r>
      <w:r w:rsidR="0097432D">
        <w:t xml:space="preserve"> throughout to render </w:t>
      </w:r>
      <w:r w:rsidR="00777B4A" w:rsidRPr="0061486E">
        <w:rPr>
          <w:rFonts w:hAnsi="SBL BibLit" w:cs="SBL BibLit"/>
          <w:szCs w:val="22"/>
          <w:rtl/>
        </w:rPr>
        <w:t>אִישׁ אֱלֹהִים</w:t>
      </w:r>
      <w:r w:rsidR="007A1EC1">
        <w:t>.</w:t>
      </w:r>
    </w:p>
  </w:footnote>
  <w:footnote w:id="35">
    <w:p w14:paraId="5589F7E1" w14:textId="33CB973E" w:rsidR="00B23E9B" w:rsidRDefault="00B23E9B">
      <w:pPr>
        <w:pStyle w:val="FootnoteText"/>
      </w:pPr>
      <w:r>
        <w:rPr>
          <w:rStyle w:val="FootnoteReference"/>
        </w:rPr>
        <w:footnoteRef/>
      </w:r>
      <w:r>
        <w:t xml:space="preserve"> In contrast,</w:t>
      </w:r>
      <w:r w:rsidR="00571C6B">
        <w:t xml:space="preserve"> the NJPS renderings of</w:t>
      </w:r>
      <w:r>
        <w:t xml:space="preserve"> other social-role terms that employ </w:t>
      </w:r>
      <w:r w:rsidRPr="004617BA">
        <w:rPr>
          <w:rFonts w:hAnsi="SBL BibLit" w:cs="SBL BibLit"/>
          <w:szCs w:val="22"/>
          <w:rtl/>
        </w:rPr>
        <w:t>אִישׁ</w:t>
      </w:r>
      <w:r w:rsidRPr="00571C6B">
        <w:rPr>
          <w:sz w:val="32"/>
          <w:szCs w:val="26"/>
        </w:rPr>
        <w:t xml:space="preserve"> </w:t>
      </w:r>
      <w:r>
        <w:t xml:space="preserve">as their head term, </w:t>
      </w:r>
      <w:r w:rsidR="00571C6B">
        <w:t xml:space="preserve">such </w:t>
      </w:r>
      <w:proofErr w:type="gramStart"/>
      <w:r w:rsidR="00571C6B">
        <w:t xml:space="preserve">as </w:t>
      </w:r>
      <w:r w:rsidR="00571C6B" w:rsidRPr="004617BA">
        <w:rPr>
          <w:rFonts w:hAnsi="SBL BibLit" w:cs="SBL BibLit" w:hint="cs"/>
          <w:szCs w:val="22"/>
          <w:rtl/>
        </w:rPr>
        <w:t xml:space="preserve"> אִישׁ</w:t>
      </w:r>
      <w:proofErr w:type="gramEnd"/>
      <w:r w:rsidR="00571C6B" w:rsidRPr="004617BA">
        <w:rPr>
          <w:rFonts w:hAnsi="SBL BibLit" w:cs="SBL BibLit" w:hint="cs"/>
          <w:szCs w:val="22"/>
          <w:rtl/>
        </w:rPr>
        <w:t xml:space="preserve"> מִלְחָמָה</w:t>
      </w:r>
      <w:r w:rsidR="00571C6B" w:rsidRPr="00571C6B">
        <w:rPr>
          <w:rFonts w:cs="Times New Roman"/>
          <w:i/>
          <w:iCs/>
          <w:szCs w:val="22"/>
        </w:rPr>
        <w:t>’</w:t>
      </w:r>
      <w:proofErr w:type="spellStart"/>
      <w:r w:rsidR="00571C6B" w:rsidRPr="00571C6B">
        <w:rPr>
          <w:rFonts w:cs="Times New Roman"/>
          <w:i/>
          <w:iCs/>
          <w:szCs w:val="22"/>
        </w:rPr>
        <w:t>ish</w:t>
      </w:r>
      <w:proofErr w:type="spellEnd"/>
      <w:r w:rsidR="00571C6B" w:rsidRPr="00571C6B">
        <w:rPr>
          <w:rFonts w:cs="Times New Roman"/>
          <w:i/>
          <w:iCs/>
          <w:szCs w:val="22"/>
        </w:rPr>
        <w:t xml:space="preserve"> </w:t>
      </w:r>
      <w:proofErr w:type="spellStart"/>
      <w:r w:rsidR="00571C6B" w:rsidRPr="00571C6B">
        <w:rPr>
          <w:rFonts w:cs="Times New Roman"/>
          <w:i/>
          <w:iCs/>
          <w:szCs w:val="22"/>
        </w:rPr>
        <w:t>milḥamah</w:t>
      </w:r>
      <w:proofErr w:type="spellEnd"/>
      <w:r w:rsidR="00571C6B" w:rsidRPr="00571C6B">
        <w:rPr>
          <w:rFonts w:cs="Times New Roman"/>
          <w:szCs w:val="22"/>
        </w:rPr>
        <w:t xml:space="preserve"> </w:t>
      </w:r>
      <w:r w:rsidR="00B45606">
        <w:t>“</w:t>
      </w:r>
      <w:r w:rsidR="00571C6B">
        <w:t>warrior</w:t>
      </w:r>
      <w:r w:rsidR="000E2D74">
        <w:t>,”</w:t>
      </w:r>
      <w:r w:rsidR="00571C6B">
        <w:t xml:space="preserve"> </w:t>
      </w:r>
      <w:r>
        <w:t>are</w:t>
      </w:r>
      <w:r w:rsidR="00571C6B">
        <w:t xml:space="preserve"> not</w:t>
      </w:r>
      <w:r>
        <w:t xml:space="preserve"> susceptible to the shifted meaning of </w:t>
      </w:r>
      <w:r>
        <w:rPr>
          <w:i/>
          <w:iCs/>
        </w:rPr>
        <w:t>man</w:t>
      </w:r>
      <w:r>
        <w:t>.</w:t>
      </w:r>
    </w:p>
  </w:footnote>
  <w:footnote w:id="36">
    <w:p w14:paraId="51992AA1" w14:textId="77777777" w:rsidR="00777B4A" w:rsidRDefault="00777B4A" w:rsidP="00777B4A">
      <w:pPr>
        <w:pStyle w:val="FootnoteText"/>
      </w:pPr>
      <w:r>
        <w:rPr>
          <w:rStyle w:val="FootnoteReference"/>
        </w:rPr>
        <w:footnoteRef/>
      </w:r>
      <w:r>
        <w:t xml:space="preserve"> See especially Judg. 13.6; 1 Kings 17.24; 2 Kings 1.9–13; 4.16; 5.14; 8.4. The fact that some individuals labeled as such are also depicted without normal human ties arises incidentally from the role. Whenever someone is serving as the agent for another party, that agent</w:t>
      </w:r>
      <w:r w:rsidRPr="00B45606">
        <w:t>’s o</w:t>
      </w:r>
      <w:r>
        <w:t>ther identities become irrelevant.</w:t>
      </w:r>
    </w:p>
  </w:footnote>
  <w:footnote w:id="37">
    <w:p w14:paraId="61A88E1E" w14:textId="11FED0D0" w:rsidR="009368FF" w:rsidRDefault="009368FF">
      <w:pPr>
        <w:pStyle w:val="FootnoteText"/>
      </w:pPr>
      <w:r>
        <w:rPr>
          <w:rStyle w:val="FootnoteReference"/>
        </w:rPr>
        <w:footnoteRef/>
      </w:r>
      <w:r>
        <w:t xml:space="preserve"> </w:t>
      </w:r>
      <w:r w:rsidR="00516149">
        <w:t>Gen. 18.2, 16, 22; 19.5</w:t>
      </w:r>
      <w:r w:rsidR="00170982">
        <w:t>(?)</w:t>
      </w:r>
      <w:r w:rsidR="00516149">
        <w:t xml:space="preserve">, 10, 12, 16; 32.25; </w:t>
      </w:r>
      <w:r w:rsidR="00CE421B">
        <w:t xml:space="preserve">Judg. 13.11; </w:t>
      </w:r>
      <w:r>
        <w:t>Ezek. 9.2–3</w:t>
      </w:r>
      <w:r w:rsidR="00463662">
        <w:t>, 11</w:t>
      </w:r>
      <w:r>
        <w:t>; 10.2</w:t>
      </w:r>
      <w:r w:rsidR="00463662">
        <w:t>–3</w:t>
      </w:r>
      <w:r>
        <w:t>, 6; 40.3–6</w:t>
      </w:r>
      <w:r w:rsidR="00463662">
        <w:t>; 43.6; 47.3</w:t>
      </w:r>
      <w:r>
        <w:t>; Zech. 1.8–10; 2.5–6; 5.9; Dan. 9.21; 10.5–6, 18–20; 12.6–7.</w:t>
      </w:r>
    </w:p>
  </w:footnote>
  <w:footnote w:id="38">
    <w:p w14:paraId="764698DF" w14:textId="7A25329C" w:rsidR="00A628CF" w:rsidRPr="00B33F33" w:rsidRDefault="00A628CF" w:rsidP="00800F4E">
      <w:pPr>
        <w:pStyle w:val="FootnoteText"/>
        <w:rPr>
          <w:rFonts w:hAnsi="SBL BibLit" w:cs="SBL BibLit"/>
        </w:rPr>
      </w:pPr>
      <w:r>
        <w:rPr>
          <w:rStyle w:val="FootnoteReference"/>
        </w:rPr>
        <w:footnoteRef/>
      </w:r>
      <w:r>
        <w:t xml:space="preserve"> </w:t>
      </w:r>
      <w:r w:rsidR="00B33F33" w:rsidRPr="00B33F33">
        <w:rPr>
          <w:szCs w:val="22"/>
        </w:rPr>
        <w:t xml:space="preserve">Meanwhile, </w:t>
      </w:r>
      <w:r w:rsidR="00B33F33">
        <w:rPr>
          <w:szCs w:val="22"/>
        </w:rPr>
        <w:t xml:space="preserve">it is telling that </w:t>
      </w:r>
      <w:r w:rsidR="00B33F33" w:rsidRPr="00B33F33">
        <w:rPr>
          <w:szCs w:val="22"/>
        </w:rPr>
        <w:t xml:space="preserve">in the nine cases where the Bible describes non-human figures as having a human appearance, the label used is </w:t>
      </w:r>
      <w:r w:rsidR="00800F4E">
        <w:rPr>
          <w:szCs w:val="22"/>
        </w:rPr>
        <w:t>something other than</w:t>
      </w:r>
      <w:r w:rsidR="00B33F33" w:rsidRPr="00B33F33">
        <w:rPr>
          <w:szCs w:val="22"/>
        </w:rPr>
        <w:t xml:space="preserve"> </w:t>
      </w:r>
      <w:r w:rsidR="00B33F33" w:rsidRPr="00B33F33">
        <w:rPr>
          <w:rFonts w:hAnsi="SBL BibLit" w:cs="SBL BibLit"/>
          <w:szCs w:val="22"/>
          <w:rtl/>
        </w:rPr>
        <w:t>אִישׁ</w:t>
      </w:r>
      <w:r w:rsidR="0071133C">
        <w:rPr>
          <w:rFonts w:hAnsi="SBL BibLit" w:cs="SBL BibLit"/>
          <w:szCs w:val="22"/>
        </w:rPr>
        <w:t>. Rather, the terms are</w:t>
      </w:r>
      <w:r w:rsidR="00B33F33" w:rsidRPr="00B33F33">
        <w:rPr>
          <w:szCs w:val="22"/>
        </w:rPr>
        <w:t xml:space="preserve"> </w:t>
      </w:r>
      <w:r w:rsidR="00B33F33" w:rsidRPr="00B33F33">
        <w:rPr>
          <w:rFonts w:ascii="SBL BibLit" w:hAnsi="SBL BibLit" w:cs="SBL BibLit"/>
          <w:color w:val="000000"/>
          <w:szCs w:val="22"/>
          <w:rtl/>
        </w:rPr>
        <w:t>אָדָם</w:t>
      </w:r>
      <w:r w:rsidR="00B33F33" w:rsidRPr="00B33F33">
        <w:rPr>
          <w:szCs w:val="22"/>
        </w:rPr>
        <w:t xml:space="preserve"> </w:t>
      </w:r>
      <w:r w:rsidR="00B33F33" w:rsidRPr="00B33F33">
        <w:rPr>
          <w:i/>
          <w:szCs w:val="22"/>
        </w:rPr>
        <w:t>’</w:t>
      </w:r>
      <w:proofErr w:type="spellStart"/>
      <w:r w:rsidR="00B33F33" w:rsidRPr="00B33F33">
        <w:rPr>
          <w:i/>
          <w:szCs w:val="22"/>
        </w:rPr>
        <w:t>adam</w:t>
      </w:r>
      <w:proofErr w:type="spellEnd"/>
      <w:r w:rsidR="00B33F33" w:rsidRPr="00B33F33">
        <w:rPr>
          <w:szCs w:val="22"/>
        </w:rPr>
        <w:t xml:space="preserve"> (Isa 44:13; </w:t>
      </w:r>
      <w:proofErr w:type="spellStart"/>
      <w:r w:rsidR="00B33F33" w:rsidRPr="00B33F33">
        <w:rPr>
          <w:szCs w:val="22"/>
        </w:rPr>
        <w:t>Ezek</w:t>
      </w:r>
      <w:proofErr w:type="spellEnd"/>
      <w:r w:rsidR="00B33F33" w:rsidRPr="00B33F33">
        <w:rPr>
          <w:szCs w:val="22"/>
        </w:rPr>
        <w:t xml:space="preserve"> 1:5, 10, 26; 10:21; Dan 10:16, 18), </w:t>
      </w:r>
      <w:r w:rsidR="00B33F33" w:rsidRPr="00B33F33">
        <w:rPr>
          <w:rFonts w:ascii="SBL BibLit" w:hAnsi="SBL BibLit" w:cs="SBL BibLit"/>
          <w:color w:val="000000"/>
          <w:szCs w:val="22"/>
          <w:rtl/>
        </w:rPr>
        <w:t>נְקֵבָה</w:t>
      </w:r>
      <w:r w:rsidR="00B33F33" w:rsidRPr="00B33F33">
        <w:rPr>
          <w:rFonts w:ascii="SBL BibLit" w:hAnsi="SBL BibLit" w:cs="SBL BibLit" w:hint="cs"/>
          <w:color w:val="000000"/>
          <w:szCs w:val="22"/>
          <w:rtl/>
        </w:rPr>
        <w:t>/</w:t>
      </w:r>
      <w:r w:rsidR="00B33F33" w:rsidRPr="00B33F33">
        <w:rPr>
          <w:rFonts w:ascii="SBL BibLit" w:hAnsi="SBL BibLit" w:cs="SBL BibLit"/>
          <w:color w:val="000000"/>
          <w:szCs w:val="22"/>
          <w:rtl/>
        </w:rPr>
        <w:t>זָכָר</w:t>
      </w:r>
      <w:r w:rsidR="00B33F33" w:rsidRPr="00B33F33">
        <w:rPr>
          <w:szCs w:val="22"/>
        </w:rPr>
        <w:t xml:space="preserve"> </w:t>
      </w:r>
      <w:proofErr w:type="spellStart"/>
      <w:r w:rsidR="00B33F33" w:rsidRPr="00B33F33">
        <w:rPr>
          <w:i/>
          <w:szCs w:val="22"/>
        </w:rPr>
        <w:t>zak</w:t>
      </w:r>
      <w:r w:rsidR="008D74A1">
        <w:rPr>
          <w:i/>
          <w:szCs w:val="22"/>
        </w:rPr>
        <w:t>h</w:t>
      </w:r>
      <w:r w:rsidR="00B33F33" w:rsidRPr="00B33F33">
        <w:rPr>
          <w:i/>
          <w:szCs w:val="22"/>
        </w:rPr>
        <w:t>ar</w:t>
      </w:r>
      <w:proofErr w:type="spellEnd"/>
      <w:r w:rsidR="00B33F33" w:rsidRPr="00B33F33">
        <w:rPr>
          <w:i/>
          <w:szCs w:val="22"/>
        </w:rPr>
        <w:t>/</w:t>
      </w:r>
      <w:proofErr w:type="spellStart"/>
      <w:r w:rsidR="00B33F33" w:rsidRPr="00B33F33">
        <w:rPr>
          <w:i/>
          <w:szCs w:val="22"/>
        </w:rPr>
        <w:t>neqe</w:t>
      </w:r>
      <w:r w:rsidR="008D74A1">
        <w:rPr>
          <w:i/>
          <w:szCs w:val="22"/>
        </w:rPr>
        <w:t>v</w:t>
      </w:r>
      <w:r w:rsidR="00B33F33" w:rsidRPr="00B33F33">
        <w:rPr>
          <w:i/>
          <w:szCs w:val="22"/>
        </w:rPr>
        <w:t>ah</w:t>
      </w:r>
      <w:proofErr w:type="spellEnd"/>
      <w:r w:rsidR="00B33F33" w:rsidRPr="00B33F33">
        <w:rPr>
          <w:szCs w:val="22"/>
        </w:rPr>
        <w:t xml:space="preserve"> (</w:t>
      </w:r>
      <w:proofErr w:type="spellStart"/>
      <w:r w:rsidR="00B33F33" w:rsidRPr="00B33F33">
        <w:rPr>
          <w:szCs w:val="22"/>
        </w:rPr>
        <w:t>Deut</w:t>
      </w:r>
      <w:proofErr w:type="spellEnd"/>
      <w:r w:rsidR="00B33F33" w:rsidRPr="00B33F33">
        <w:rPr>
          <w:szCs w:val="22"/>
        </w:rPr>
        <w:t xml:space="preserve"> 4:16), and </w:t>
      </w:r>
      <w:r w:rsidR="00B33F33" w:rsidRPr="00B33F33">
        <w:rPr>
          <w:rFonts w:ascii="SBL BibLit" w:hAnsi="SBL BibLit" w:cs="SBL BibLit"/>
          <w:szCs w:val="22"/>
          <w:rtl/>
        </w:rPr>
        <w:t>גֶּבֶר</w:t>
      </w:r>
      <w:r w:rsidR="00B33F33" w:rsidRPr="00B33F33">
        <w:rPr>
          <w:szCs w:val="22"/>
        </w:rPr>
        <w:t xml:space="preserve"> </w:t>
      </w:r>
      <w:proofErr w:type="spellStart"/>
      <w:r w:rsidR="00B33F33" w:rsidRPr="00B33F33">
        <w:rPr>
          <w:i/>
          <w:szCs w:val="22"/>
        </w:rPr>
        <w:t>ge</w:t>
      </w:r>
      <w:r w:rsidR="008D74A1">
        <w:rPr>
          <w:i/>
          <w:szCs w:val="22"/>
        </w:rPr>
        <w:t>v</w:t>
      </w:r>
      <w:r w:rsidR="00B33F33" w:rsidRPr="00B33F33">
        <w:rPr>
          <w:i/>
          <w:szCs w:val="22"/>
        </w:rPr>
        <w:t>er</w:t>
      </w:r>
      <w:proofErr w:type="spellEnd"/>
      <w:r w:rsidR="00B33F33" w:rsidRPr="00B33F33">
        <w:rPr>
          <w:szCs w:val="22"/>
        </w:rPr>
        <w:t xml:space="preserve"> (Dan 8:15). </w:t>
      </w:r>
      <w:r w:rsidR="00B33F33" w:rsidRPr="00B33F33">
        <w:rPr>
          <w:rFonts w:hAnsi="SBL BibLit" w:cs="SBL BibLit"/>
          <w:szCs w:val="22"/>
        </w:rPr>
        <w:t xml:space="preserve">If that were indeed an available meaning of </w:t>
      </w:r>
      <w:r w:rsidR="00B33F33" w:rsidRPr="00B33F33">
        <w:rPr>
          <w:rFonts w:hAnsi="SBL BibLit" w:cs="SBL BibLit"/>
          <w:szCs w:val="22"/>
          <w:rtl/>
        </w:rPr>
        <w:t>אִישׁ</w:t>
      </w:r>
      <w:r w:rsidR="00B33F33" w:rsidRPr="00B33F33">
        <w:rPr>
          <w:rFonts w:hAnsi="SBL BibLit" w:cs="SBL BibLit"/>
          <w:szCs w:val="22"/>
        </w:rPr>
        <w:t xml:space="preserve">, it surely would have been employed due to its being shorter and easier to pronounce than the competing nouns. Consequently, the notion that the label </w:t>
      </w:r>
      <w:r w:rsidR="00B33F33" w:rsidRPr="00B33F33">
        <w:rPr>
          <w:rFonts w:hAnsi="SBL BibLit" w:cs="SBL BibLit"/>
          <w:szCs w:val="22"/>
          <w:rtl/>
        </w:rPr>
        <w:t>אִישׁ</w:t>
      </w:r>
      <w:r w:rsidR="00B33F33" w:rsidRPr="00B33F33">
        <w:rPr>
          <w:rFonts w:hAnsi="SBL BibLit" w:cs="SBL BibLit"/>
          <w:szCs w:val="22"/>
        </w:rPr>
        <w:t xml:space="preserve"> means that its referent looks like a human being </w:t>
      </w:r>
      <w:r w:rsidR="00800F4E">
        <w:rPr>
          <w:rFonts w:hAnsi="SBL BibLit" w:cs="SBL BibLit"/>
          <w:szCs w:val="22"/>
        </w:rPr>
        <w:t>lacks</w:t>
      </w:r>
      <w:r w:rsidR="00B33F33" w:rsidRPr="00B33F33">
        <w:rPr>
          <w:rFonts w:hAnsi="SBL BibLit" w:cs="SBL BibLit"/>
          <w:szCs w:val="22"/>
        </w:rPr>
        <w:t xml:space="preserve"> support. I</w:t>
      </w:r>
      <w:r w:rsidR="00800F4E">
        <w:rPr>
          <w:rFonts w:hAnsi="SBL BibLit" w:cs="SBL BibLit"/>
          <w:szCs w:val="22"/>
        </w:rPr>
        <w:t>n the Bible, i</w:t>
      </w:r>
      <w:r w:rsidR="00B33F33" w:rsidRPr="00B33F33">
        <w:rPr>
          <w:rFonts w:hAnsi="SBL BibLit" w:cs="SBL BibLit"/>
          <w:szCs w:val="22"/>
        </w:rPr>
        <w:t xml:space="preserve">t </w:t>
      </w:r>
      <w:r w:rsidR="00800F4E">
        <w:rPr>
          <w:rFonts w:hAnsi="SBL BibLit" w:cs="SBL BibLit"/>
          <w:szCs w:val="22"/>
        </w:rPr>
        <w:t xml:space="preserve">is not </w:t>
      </w:r>
      <w:r w:rsidR="00B33F33" w:rsidRPr="00B33F33">
        <w:rPr>
          <w:rFonts w:hAnsi="SBL BibLit" w:cs="SBL BibLit"/>
          <w:szCs w:val="22"/>
        </w:rPr>
        <w:t>used in that manner.</w:t>
      </w:r>
      <w:r w:rsidR="00800F4E">
        <w:rPr>
          <w:rFonts w:hAnsi="SBL BibLit" w:cs="SBL BibLit"/>
          <w:szCs w:val="22"/>
        </w:rPr>
        <w:t xml:space="preserve"> </w:t>
      </w:r>
      <w:r w:rsidR="008D74A1">
        <w:rPr>
          <w:szCs w:val="22"/>
        </w:rPr>
        <w:t>Hence</w:t>
      </w:r>
      <w:r w:rsidR="00800F4E" w:rsidRPr="00B33F33">
        <w:rPr>
          <w:szCs w:val="22"/>
        </w:rPr>
        <w:t xml:space="preserve"> </w:t>
      </w:r>
      <w:r w:rsidR="00800F4E">
        <w:rPr>
          <w:szCs w:val="22"/>
        </w:rPr>
        <w:t xml:space="preserve">the </w:t>
      </w:r>
      <w:r w:rsidR="00800F4E" w:rsidRPr="00B33F33">
        <w:rPr>
          <w:szCs w:val="22"/>
        </w:rPr>
        <w:t>refer</w:t>
      </w:r>
      <w:r w:rsidR="00800F4E">
        <w:rPr>
          <w:szCs w:val="22"/>
        </w:rPr>
        <w:t>ences</w:t>
      </w:r>
      <w:r w:rsidR="00800F4E" w:rsidRPr="00B33F33">
        <w:rPr>
          <w:szCs w:val="22"/>
        </w:rPr>
        <w:t xml:space="preserve"> to supernatural beings with the label </w:t>
      </w:r>
      <w:r w:rsidR="00800F4E" w:rsidRPr="00B33F33">
        <w:rPr>
          <w:rFonts w:hAnsi="SBL BibLit" w:cs="SBL BibLit"/>
          <w:szCs w:val="22"/>
          <w:rtl/>
        </w:rPr>
        <w:t>אִישׁ</w:t>
      </w:r>
      <w:r w:rsidR="00800F4E" w:rsidRPr="00B33F33">
        <w:rPr>
          <w:szCs w:val="22"/>
        </w:rPr>
        <w:t xml:space="preserve"> cannot be taken as a signal that their appearance is indistinguishable from that of a human being, as some scholars have claimed.</w:t>
      </w:r>
    </w:p>
  </w:footnote>
  <w:footnote w:id="39">
    <w:p w14:paraId="217E1422" w14:textId="2E5C468C" w:rsidR="009368FF" w:rsidRDefault="009368FF" w:rsidP="009368FF">
      <w:pPr>
        <w:pStyle w:val="FootnoteText"/>
      </w:pPr>
      <w:r>
        <w:rPr>
          <w:rStyle w:val="FootnoteReference"/>
        </w:rPr>
        <w:footnoteRef/>
      </w:r>
      <w:r>
        <w:t xml:space="preserve"> See above under </w:t>
      </w:r>
      <w:r w:rsidR="00244D66">
        <w:t>“</w:t>
      </w:r>
      <w:r w:rsidR="00AD7CB9" w:rsidRPr="00AD7CB9">
        <w:rPr>
          <w:i/>
          <w:iCs/>
        </w:rPr>
        <w:t>Man</w:t>
      </w:r>
      <w:r w:rsidR="00AD7CB9" w:rsidRPr="00AD7CB9">
        <w:t xml:space="preserve"> and Its Special Function</w:t>
      </w:r>
      <w:r>
        <w:t>.</w:t>
      </w:r>
      <w:r w:rsidR="00244D66">
        <w:t>”</w:t>
      </w:r>
    </w:p>
  </w:footnote>
  <w:footnote w:id="40">
    <w:p w14:paraId="71B12DA5" w14:textId="19B3A397" w:rsidR="003D5DDC" w:rsidRDefault="003D5DDC" w:rsidP="003D5DDC">
      <w:pPr>
        <w:pStyle w:val="FootnoteText"/>
      </w:pPr>
      <w:r>
        <w:rPr>
          <w:rStyle w:val="FootnoteReference"/>
        </w:rPr>
        <w:footnoteRef/>
      </w:r>
      <w:r>
        <w:t xml:space="preserve"> On gender in the book of Proverbs</w:t>
      </w:r>
      <w:r w:rsidR="006F1494">
        <w:t xml:space="preserve"> and its treatment in RJPS</w:t>
      </w:r>
      <w:r>
        <w:t xml:space="preserve">, see above, n. </w:t>
      </w:r>
      <w:r>
        <w:fldChar w:fldCharType="begin"/>
      </w:r>
      <w:r>
        <w:instrText xml:space="preserve"> NOTEREF _Ref106891959 \h </w:instrText>
      </w:r>
      <w:r>
        <w:fldChar w:fldCharType="separate"/>
      </w:r>
      <w:r w:rsidR="00297276">
        <w:t>20</w:t>
      </w:r>
      <w:r>
        <w:fldChar w:fldCharType="end"/>
      </w:r>
      <w:r>
        <w:t>.</w:t>
      </w:r>
    </w:p>
  </w:footnote>
  <w:footnote w:id="41">
    <w:p w14:paraId="394D11FC" w14:textId="105BBD93" w:rsidR="00E375BF" w:rsidRDefault="00E375BF">
      <w:pPr>
        <w:pStyle w:val="FootnoteText"/>
      </w:pPr>
      <w:r>
        <w:rPr>
          <w:rStyle w:val="FootnoteReference"/>
        </w:rPr>
        <w:footnoteRef/>
      </w:r>
      <w:r>
        <w:t xml:space="preserve"> “Timbrel” can mean either “hand-drum” or “tambourine”—and </w:t>
      </w:r>
      <w:r w:rsidR="00D56314">
        <w:t>in our day</w:t>
      </w:r>
      <w:r w:rsidR="00C02773">
        <w:t>,</w:t>
      </w:r>
      <w:r>
        <w:t xml:space="preserve"> the latter construal </w:t>
      </w:r>
      <w:r w:rsidR="00777018">
        <w:t>seems to be</w:t>
      </w:r>
      <w:r>
        <w:t xml:space="preserve"> more common. Yet the </w:t>
      </w:r>
      <w:r w:rsidR="00D56314">
        <w:t>first</w:t>
      </w:r>
      <w:r>
        <w:t xml:space="preserve"> </w:t>
      </w:r>
      <w:r w:rsidR="00D56314">
        <w:t>meaning denotes</w:t>
      </w:r>
      <w:r>
        <w:t xml:space="preserve"> a basic, tempo-setting instrument, whereas the </w:t>
      </w:r>
      <w:r w:rsidR="00D56314">
        <w:t>second meaning</w:t>
      </w:r>
      <w:r>
        <w:t xml:space="preserve"> </w:t>
      </w:r>
      <w:r w:rsidR="00D56314">
        <w:t>denotes a</w:t>
      </w:r>
      <w:r>
        <w:t xml:space="preserve"> more ornamental</w:t>
      </w:r>
      <w:r w:rsidR="00D56314">
        <w:t xml:space="preserve"> one (not attested until the Roman era)</w:t>
      </w:r>
      <w:r>
        <w:t>.</w:t>
      </w:r>
    </w:p>
  </w:footnote>
  <w:footnote w:id="42">
    <w:p w14:paraId="17980AAB" w14:textId="77777777" w:rsidR="002023AE" w:rsidRDefault="002023AE" w:rsidP="002023AE">
      <w:pPr>
        <w:pStyle w:val="FootnoteText"/>
      </w:pPr>
      <w:r>
        <w:rPr>
          <w:rStyle w:val="FootnoteReference"/>
        </w:rPr>
        <w:footnoteRef/>
      </w:r>
      <w:r>
        <w:t xml:space="preserve"> See above under “What Goes without Saying.”</w:t>
      </w:r>
    </w:p>
  </w:footnote>
  <w:footnote w:id="43">
    <w:p w14:paraId="3EDE10CC" w14:textId="77777777" w:rsidR="002023AE" w:rsidRDefault="002023AE" w:rsidP="002023AE">
      <w:pPr>
        <w:pStyle w:val="FootnoteText"/>
      </w:pPr>
      <w:r>
        <w:rPr>
          <w:rStyle w:val="FootnoteReference"/>
        </w:rPr>
        <w:footnoteRef/>
      </w:r>
      <w:r>
        <w:t xml:space="preserve"> See above under “Gendered Renderings and English Idiom.”</w:t>
      </w:r>
    </w:p>
  </w:footnote>
  <w:footnote w:id="44">
    <w:p w14:paraId="6837484F" w14:textId="77777777" w:rsidR="002023AE" w:rsidRDefault="002023AE" w:rsidP="002023AE">
      <w:pPr>
        <w:pStyle w:val="FootnoteText"/>
      </w:pPr>
      <w:r>
        <w:rPr>
          <w:rStyle w:val="FootnoteReference"/>
        </w:rPr>
        <w:footnoteRef/>
      </w:r>
      <w:r>
        <w:t xml:space="preserve"> Although, as discussed in the Preface, a second criterion must also be met, it is not germane to the question of cultural accuracy.</w:t>
      </w:r>
    </w:p>
  </w:footnote>
  <w:footnote w:id="45">
    <w:p w14:paraId="2791FBDA" w14:textId="005958AB" w:rsidR="00C360B5" w:rsidRDefault="00C360B5">
      <w:pPr>
        <w:pStyle w:val="FootnoteText"/>
      </w:pPr>
      <w:r>
        <w:rPr>
          <w:rStyle w:val="FootnoteReference"/>
        </w:rPr>
        <w:footnoteRef/>
      </w:r>
      <w:r>
        <w:t xml:space="preserve"> For the provision of a second rendering that offers a different gender implication, see, e.g., Gen. 29.22 and Ps. 34.9. For an acknowledgement of uncertainty, see, e.g., Num. 15.38 and Deut. 23.2.</w:t>
      </w:r>
    </w:p>
  </w:footnote>
  <w:footnote w:id="46">
    <w:p w14:paraId="44CFC7BD" w14:textId="076C873F" w:rsidR="00F24CF8" w:rsidRPr="00123ACF" w:rsidRDefault="00123ACF" w:rsidP="00F24CF8">
      <w:pPr>
        <w:pStyle w:val="FootnoteText"/>
      </w:pPr>
      <w:r>
        <w:rPr>
          <w:rStyle w:val="FootnoteReference"/>
        </w:rPr>
        <w:footnoteRef/>
      </w:r>
      <w:r>
        <w:t xml:space="preserve"> </w:t>
      </w:r>
      <w:r w:rsidR="002C79E9">
        <w:t>Such a</w:t>
      </w:r>
      <w:r>
        <w:t xml:space="preserve"> discussion is </w:t>
      </w:r>
      <w:r w:rsidR="00F24CF8">
        <w:t xml:space="preserve">properly </w:t>
      </w:r>
      <w:r>
        <w:t xml:space="preserve">cast in terms of </w:t>
      </w:r>
      <w:r w:rsidR="0087191C">
        <w:rPr>
          <w:smallCaps/>
        </w:rPr>
        <w:t>God</w:t>
      </w:r>
      <w:r w:rsidR="0087191C">
        <w:t>’s</w:t>
      </w:r>
      <w:r w:rsidR="0087191C">
        <w:rPr>
          <w:i/>
          <w:iCs/>
        </w:rPr>
        <w:t xml:space="preserve"> </w:t>
      </w:r>
      <w:r>
        <w:rPr>
          <w:i/>
          <w:iCs/>
        </w:rPr>
        <w:t>persona</w:t>
      </w:r>
      <w:r>
        <w:t xml:space="preserve"> (i.e., </w:t>
      </w:r>
      <w:r w:rsidR="00C4260D">
        <w:t xml:space="preserve">the </w:t>
      </w:r>
      <w:r>
        <w:t>personality</w:t>
      </w:r>
      <w:r w:rsidR="00C4260D">
        <w:t xml:space="preserve"> that is projected through speech and action</w:t>
      </w:r>
      <w:r>
        <w:t xml:space="preserve">) rather than </w:t>
      </w:r>
      <w:r w:rsidR="002C79E9">
        <w:t xml:space="preserve">innate </w:t>
      </w:r>
      <w:r w:rsidR="002C79E9">
        <w:rPr>
          <w:i/>
          <w:iCs/>
        </w:rPr>
        <w:t>nature</w:t>
      </w:r>
      <w:r w:rsidR="002C79E9">
        <w:t>.</w:t>
      </w:r>
      <w:r>
        <w:t xml:space="preserve"> </w:t>
      </w:r>
      <w:r w:rsidR="002C79E9">
        <w:t>I</w:t>
      </w:r>
      <w:r>
        <w:t xml:space="preserve">n the ancient Near East, deities were </w:t>
      </w:r>
      <w:r w:rsidR="0087191C">
        <w:t>normally</w:t>
      </w:r>
      <w:r w:rsidR="00F24CF8">
        <w:t xml:space="preserve"> depicted and experienced in</w:t>
      </w:r>
      <w:r w:rsidR="002C79E9">
        <w:t xml:space="preserve"> both personal and</w:t>
      </w:r>
      <w:r w:rsidR="00F24CF8">
        <w:t xml:space="preserve"> </w:t>
      </w:r>
      <w:r w:rsidR="00F24CF8" w:rsidRPr="00097315">
        <w:rPr>
          <w:iCs/>
        </w:rPr>
        <w:t>non</w:t>
      </w:r>
      <w:r w:rsidR="00F24CF8">
        <w:t xml:space="preserve">personal </w:t>
      </w:r>
      <w:r w:rsidR="00C4260D">
        <w:t>ways</w:t>
      </w:r>
      <w:r w:rsidR="00F24CF8">
        <w:t xml:space="preserve">. A human-like persona was one among many alternate ways of evoking </w:t>
      </w:r>
      <w:r w:rsidR="00C4260D">
        <w:t>the same</w:t>
      </w:r>
      <w:r w:rsidR="00F24CF8">
        <w:t xml:space="preserve"> deity’s presence</w:t>
      </w:r>
      <w:r w:rsidR="00C4260D">
        <w:t xml:space="preserve"> and functions</w:t>
      </w:r>
      <w:r w:rsidR="00F24CF8">
        <w:t>.</w:t>
      </w:r>
    </w:p>
  </w:footnote>
  <w:footnote w:id="47">
    <w:p w14:paraId="73A7C02A" w14:textId="24A79857" w:rsidR="00AA1F1D" w:rsidRDefault="005B6CF4" w:rsidP="00C4260D">
      <w:pPr>
        <w:pStyle w:val="FootnoteText"/>
      </w:pPr>
      <w:r>
        <w:rPr>
          <w:rStyle w:val="FootnoteReference"/>
        </w:rPr>
        <w:footnoteRef/>
      </w:r>
      <w:r>
        <w:t xml:space="preserve"> </w:t>
      </w:r>
      <w:r w:rsidR="00AA1F1D">
        <w:t xml:space="preserve">In Hebrew, </w:t>
      </w:r>
      <w:r w:rsidR="00BD7BEE">
        <w:t>m</w:t>
      </w:r>
      <w:r w:rsidR="00A04522">
        <w:t>asc</w:t>
      </w:r>
      <w:r w:rsidR="00D70708">
        <w:t xml:space="preserve">uline inflections </w:t>
      </w:r>
      <w:r w:rsidR="00980EB0">
        <w:t>are</w:t>
      </w:r>
      <w:r w:rsidR="00D70708">
        <w:t xml:space="preserve"> </w:t>
      </w:r>
      <w:r w:rsidR="00AA1F1D">
        <w:t xml:space="preserve">the </w:t>
      </w:r>
      <w:r w:rsidR="00D70708">
        <w:t>norm whenever</w:t>
      </w:r>
      <w:r w:rsidR="00EF5EB8">
        <w:t xml:space="preserve"> the</w:t>
      </w:r>
      <w:r w:rsidR="00D70708">
        <w:t xml:space="preserve"> speaker </w:t>
      </w:r>
      <w:r w:rsidR="00980EB0">
        <w:t>does not know</w:t>
      </w:r>
      <w:r w:rsidR="00D70708">
        <w:t xml:space="preserve"> </w:t>
      </w:r>
      <w:r w:rsidR="00BD7BEE">
        <w:t>a</w:t>
      </w:r>
      <w:r w:rsidR="00CE2692">
        <w:t xml:space="preserve"> specific</w:t>
      </w:r>
      <w:r w:rsidR="00D70708">
        <w:t xml:space="preserve"> referent</w:t>
      </w:r>
      <w:r w:rsidR="00980EB0" w:rsidRPr="00B45606">
        <w:t xml:space="preserve">’s </w:t>
      </w:r>
      <w:r w:rsidR="00136F45">
        <w:t xml:space="preserve">social </w:t>
      </w:r>
      <w:r w:rsidR="00980EB0" w:rsidRPr="00B45606">
        <w:t>g</w:t>
      </w:r>
      <w:r w:rsidR="00980EB0">
        <w:t>ender or it is</w:t>
      </w:r>
      <w:r w:rsidR="00D70708">
        <w:t xml:space="preserve"> indeterminate</w:t>
      </w:r>
      <w:r w:rsidR="00136F45">
        <w:t xml:space="preserve">. </w:t>
      </w:r>
      <w:proofErr w:type="gramStart"/>
      <w:r w:rsidR="00136F45">
        <w:t>Therefore</w:t>
      </w:r>
      <w:proofErr w:type="gramEnd"/>
      <w:r w:rsidR="00136F45">
        <w:t xml:space="preserve"> they are the expected way to refer to someone for whom the social category of gender is deemed not to apply</w:t>
      </w:r>
      <w:r w:rsidR="00D70708">
        <w:t xml:space="preserve">. </w:t>
      </w:r>
      <w:r w:rsidR="00BD7BEE">
        <w:t xml:space="preserve">Once </w:t>
      </w:r>
      <w:r w:rsidR="00F271D1">
        <w:t>such a</w:t>
      </w:r>
      <w:r w:rsidR="00BD7BEE">
        <w:t xml:space="preserve"> status is established, t</w:t>
      </w:r>
      <w:r w:rsidR="008C6DD5">
        <w:t>he inherent stability</w:t>
      </w:r>
      <w:r w:rsidR="00BD7BEE">
        <w:t xml:space="preserve"> (identity)</w:t>
      </w:r>
      <w:r w:rsidR="008C6DD5">
        <w:t xml:space="preserve"> of a persona </w:t>
      </w:r>
      <w:r w:rsidR="00BD7BEE">
        <w:t xml:space="preserve">then </w:t>
      </w:r>
      <w:r w:rsidR="00F271D1">
        <w:t>supports the continued use of masculine</w:t>
      </w:r>
      <w:r w:rsidR="008C6DD5">
        <w:t xml:space="preserve"> grammatical gender </w:t>
      </w:r>
      <w:r w:rsidR="00F271D1">
        <w:t>in reference to that party</w:t>
      </w:r>
      <w:r w:rsidR="008C6DD5">
        <w:t>.</w:t>
      </w:r>
    </w:p>
  </w:footnote>
  <w:footnote w:id="48">
    <w:p w14:paraId="175E4EA3" w14:textId="79372008" w:rsidR="007956B7" w:rsidRDefault="007956B7">
      <w:pPr>
        <w:pStyle w:val="FootnoteText"/>
      </w:pPr>
      <w:r>
        <w:rPr>
          <w:rStyle w:val="FootnoteReference"/>
        </w:rPr>
        <w:footnoteRef/>
      </w:r>
      <w:r>
        <w:t xml:space="preserve"> </w:t>
      </w:r>
      <w:r w:rsidR="005D0363">
        <w:t>The same practice is attested in the ancient Near East for a male deity. Meanwhile, w</w:t>
      </w:r>
      <w:r w:rsidR="00630754">
        <w:t>omanly</w:t>
      </w:r>
      <w:r w:rsidR="00E03E88">
        <w:t xml:space="preserve"> imagery can be applied</w:t>
      </w:r>
      <w:r w:rsidR="00630754">
        <w:t xml:space="preserve"> also</w:t>
      </w:r>
      <w:r w:rsidR="00E03E88">
        <w:t xml:space="preserve"> to male</w:t>
      </w:r>
      <w:r>
        <w:t xml:space="preserve"> </w:t>
      </w:r>
      <w:r w:rsidRPr="00630754">
        <w:rPr>
          <w:i/>
          <w:iCs/>
        </w:rPr>
        <w:t>human beings</w:t>
      </w:r>
      <w:r w:rsidR="00E03E88">
        <w:t xml:space="preserve"> without feminizing them, as in</w:t>
      </w:r>
      <w:r>
        <w:t xml:space="preserve"> the image of suckling at the breasts of kings in Isa. 60.16.</w:t>
      </w:r>
    </w:p>
  </w:footnote>
  <w:footnote w:id="49">
    <w:p w14:paraId="63622B0D" w14:textId="6B4F6A43" w:rsidR="008A3327" w:rsidRDefault="008A3327" w:rsidP="008A3327">
      <w:pPr>
        <w:pStyle w:val="FootnoteText"/>
      </w:pPr>
      <w:r>
        <w:rPr>
          <w:rStyle w:val="FootnoteReference"/>
        </w:rPr>
        <w:footnoteRef/>
      </w:r>
      <w:r>
        <w:t xml:space="preserve"> </w:t>
      </w:r>
      <w:r w:rsidR="002057CF">
        <w:t>How, then, to explain the</w:t>
      </w:r>
      <w:r>
        <w:t xml:space="preserve"> predominance of manly imagery </w:t>
      </w:r>
      <w:r w:rsidR="002057CF">
        <w:t xml:space="preserve">in the </w:t>
      </w:r>
      <w:r w:rsidR="00EF1CD7">
        <w:t>Bible</w:t>
      </w:r>
      <w:r w:rsidR="002057CF">
        <w:t>? By an</w:t>
      </w:r>
      <w:r>
        <w:t xml:space="preserve"> abiding desire to depict the Deity as possessing the kind of power and</w:t>
      </w:r>
      <w:r w:rsidR="007E1DF7">
        <w:t xml:space="preserve"> ultimate</w:t>
      </w:r>
      <w:r>
        <w:t xml:space="preserve"> authority that, in human society, was typically possessed by </w:t>
      </w:r>
      <w:r w:rsidRPr="000B143A">
        <w:rPr>
          <w:i/>
          <w:iCs/>
        </w:rPr>
        <w:t>men</w:t>
      </w:r>
      <w:r w:rsidR="002057CF">
        <w:t xml:space="preserve">. </w:t>
      </w:r>
      <w:r w:rsidR="006D176B">
        <w:t>In the context of recounting</w:t>
      </w:r>
      <w:r w:rsidR="002057CF">
        <w:t xml:space="preserve"> the fate of a nation,</w:t>
      </w:r>
      <w:r w:rsidR="006D176B">
        <w:t xml:space="preserve"> </w:t>
      </w:r>
      <w:r>
        <w:t>the</w:t>
      </w:r>
      <w:r w:rsidR="006D176B">
        <w:t xml:space="preserve"> Deity’s</w:t>
      </w:r>
      <w:r>
        <w:t xml:space="preserve"> ability to win victory over enemies, and to administer justice</w:t>
      </w:r>
      <w:r w:rsidR="002057CF">
        <w:t xml:space="preserve">, </w:t>
      </w:r>
      <w:r w:rsidR="006D176B">
        <w:t>seem</w:t>
      </w:r>
      <w:r w:rsidR="00020201">
        <w:t>s</w:t>
      </w:r>
      <w:r w:rsidR="006D176B">
        <w:t xml:space="preserve"> to </w:t>
      </w:r>
      <w:r w:rsidR="00020201">
        <w:t>have been</w:t>
      </w:r>
      <w:r w:rsidR="006D176B">
        <w:t xml:space="preserve"> </w:t>
      </w:r>
      <w:r w:rsidR="00F063BE">
        <w:t xml:space="preserve">highly </w:t>
      </w:r>
      <w:r w:rsidR="006D176B">
        <w:t>valued</w:t>
      </w:r>
      <w:r w:rsidR="002057CF">
        <w:t>.</w:t>
      </w:r>
    </w:p>
  </w:footnote>
  <w:footnote w:id="50">
    <w:p w14:paraId="17F5E754" w14:textId="71E7ACC4" w:rsidR="005E291B" w:rsidRDefault="005E291B" w:rsidP="005E291B">
      <w:pPr>
        <w:pStyle w:val="FootnoteText"/>
      </w:pPr>
      <w:r>
        <w:rPr>
          <w:rStyle w:val="FootnoteReference"/>
        </w:rPr>
        <w:footnoteRef/>
      </w:r>
      <w:r>
        <w:t xml:space="preserve"> Other examples include Isa. 45.9–10; 49.14–15.</w:t>
      </w:r>
      <w:r w:rsidR="007E0DF8">
        <w:t xml:space="preserve"> The same practice of </w:t>
      </w:r>
      <w:r w:rsidR="0088619D">
        <w:t>two</w:t>
      </w:r>
      <w:r w:rsidR="007E0DF8">
        <w:t xml:space="preserve">-gender predications is attested in the ancient Near East for </w:t>
      </w:r>
      <w:r w:rsidR="0088619D">
        <w:t>k</w:t>
      </w:r>
      <w:r w:rsidR="007E0DF8">
        <w:t>ings and for other deities.</w:t>
      </w:r>
    </w:p>
  </w:footnote>
  <w:footnote w:id="51">
    <w:p w14:paraId="22E611CB" w14:textId="41AE04AE" w:rsidR="008F13C2" w:rsidRDefault="008F13C2" w:rsidP="00F859EB">
      <w:pPr>
        <w:pStyle w:val="FootnoteText"/>
      </w:pPr>
      <w:r>
        <w:rPr>
          <w:rStyle w:val="FootnoteReference"/>
        </w:rPr>
        <w:footnoteRef/>
      </w:r>
      <w:r>
        <w:t xml:space="preserve"> </w:t>
      </w:r>
      <w:r w:rsidR="004F6B7A">
        <w:t>Furthermore,</w:t>
      </w:r>
      <w:r>
        <w:t xml:space="preserve"> this construal would apply d</w:t>
      </w:r>
      <w:r w:rsidRPr="002D7150">
        <w:t xml:space="preserve">espite </w:t>
      </w:r>
      <w:r w:rsidR="00C6315B">
        <w:t xml:space="preserve">the ancient </w:t>
      </w:r>
      <w:r w:rsidR="00C6315B" w:rsidRPr="001B2338">
        <w:t>audience</w:t>
      </w:r>
      <w:r w:rsidR="00C6315B">
        <w:t>’s</w:t>
      </w:r>
      <w:r w:rsidR="00C6315B" w:rsidDel="00C6315B">
        <w:t xml:space="preserve"> </w:t>
      </w:r>
      <w:r w:rsidR="00C6315B">
        <w:t>possible</w:t>
      </w:r>
      <w:r w:rsidRPr="001B2338">
        <w:t xml:space="preserve"> </w:t>
      </w:r>
      <w:r>
        <w:t>familiarity with</w:t>
      </w:r>
      <w:r w:rsidRPr="001B2338">
        <w:t xml:space="preserve"> a </w:t>
      </w:r>
      <w:r w:rsidRPr="00843D67">
        <w:rPr>
          <w:i/>
          <w:iCs/>
        </w:rPr>
        <w:t>male</w:t>
      </w:r>
      <w:r>
        <w:t xml:space="preserve"> deity of the same name</w:t>
      </w:r>
      <w:r w:rsidR="00F859EB">
        <w:t xml:space="preserve">, </w:t>
      </w:r>
      <w:r>
        <w:t xml:space="preserve">as some archeological evidence suggests. </w:t>
      </w:r>
      <w:r w:rsidR="009B201B">
        <w:t>The apparent fact</w:t>
      </w:r>
      <w:r w:rsidR="00F859EB" w:rsidRPr="00F859EB">
        <w:t xml:space="preserve"> </w:t>
      </w:r>
      <w:r w:rsidR="009B201B">
        <w:t xml:space="preserve">that </w:t>
      </w:r>
      <w:r w:rsidR="00F859EB" w:rsidRPr="00F859EB">
        <w:t xml:space="preserve">some Israelites thought of </w:t>
      </w:r>
      <w:r w:rsidR="00F859EB">
        <w:t>this deity</w:t>
      </w:r>
      <w:r w:rsidR="00F859EB" w:rsidRPr="00F859EB">
        <w:t xml:space="preserve"> as </w:t>
      </w:r>
      <w:r w:rsidR="00F859EB">
        <w:t xml:space="preserve">male-gendered does not mean that </w:t>
      </w:r>
      <w:r w:rsidR="00F859EB" w:rsidRPr="00F859EB">
        <w:t>every Israelite</w:t>
      </w:r>
      <w:r w:rsidR="00F859EB">
        <w:t xml:space="preserve"> (and biblical author)</w:t>
      </w:r>
      <w:r w:rsidR="00F859EB" w:rsidRPr="00F859EB">
        <w:t xml:space="preserve"> must have done so.</w:t>
      </w:r>
      <w:r w:rsidR="009B201B">
        <w:t xml:space="preserve"> </w:t>
      </w:r>
    </w:p>
  </w:footnote>
  <w:footnote w:id="52">
    <w:p w14:paraId="6CDFB386" w14:textId="737377B6" w:rsidR="00926A7A" w:rsidRPr="0060768A" w:rsidRDefault="00926A7A" w:rsidP="00926A7A">
      <w:pPr>
        <w:pStyle w:val="FootnoteText"/>
        <w:rPr>
          <w:rFonts w:eastAsia="Times New Roman"/>
          <w:szCs w:val="22"/>
        </w:rPr>
      </w:pPr>
      <w:r>
        <w:rPr>
          <w:rStyle w:val="FootnoteReference"/>
        </w:rPr>
        <w:footnoteRef/>
      </w:r>
      <w:r>
        <w:t xml:space="preserve"> </w:t>
      </w:r>
      <w:r>
        <w:rPr>
          <w:szCs w:val="22"/>
        </w:rPr>
        <w:t>This translation</w:t>
      </w:r>
      <w:r w:rsidRPr="003F76A3">
        <w:rPr>
          <w:szCs w:val="22"/>
        </w:rPr>
        <w:t xml:space="preserve"> is not the first </w:t>
      </w:r>
      <w:r>
        <w:rPr>
          <w:szCs w:val="22"/>
        </w:rPr>
        <w:t>one</w:t>
      </w:r>
      <w:r w:rsidRPr="003F76A3">
        <w:rPr>
          <w:szCs w:val="22"/>
        </w:rPr>
        <w:t xml:space="preserve"> to </w:t>
      </w:r>
      <w:r>
        <w:rPr>
          <w:szCs w:val="22"/>
        </w:rPr>
        <w:t>depict G</w:t>
      </w:r>
      <w:r w:rsidRPr="002A6161">
        <w:rPr>
          <w:smallCaps/>
          <w:szCs w:val="22"/>
        </w:rPr>
        <w:t>od</w:t>
      </w:r>
      <w:r>
        <w:rPr>
          <w:szCs w:val="22"/>
        </w:rPr>
        <w:t xml:space="preserve"> without gender</w:t>
      </w:r>
      <w:r w:rsidRPr="003F76A3">
        <w:rPr>
          <w:szCs w:val="22"/>
        </w:rPr>
        <w:t>.</w:t>
      </w:r>
      <w:r>
        <w:rPr>
          <w:szCs w:val="22"/>
        </w:rPr>
        <w:t xml:space="preserve"> In 1930, a translator of the Bible into</w:t>
      </w:r>
      <w:r w:rsidRPr="0060768A">
        <w:rPr>
          <w:szCs w:val="22"/>
        </w:rPr>
        <w:t xml:space="preserve"> Chinese</w:t>
      </w:r>
      <w:r>
        <w:rPr>
          <w:szCs w:val="22"/>
        </w:rPr>
        <w:t xml:space="preserve">, </w:t>
      </w:r>
      <w:r w:rsidRPr="0060768A">
        <w:rPr>
          <w:szCs w:val="22"/>
        </w:rPr>
        <w:t xml:space="preserve">Wang </w:t>
      </w:r>
      <w:proofErr w:type="spellStart"/>
      <w:r w:rsidRPr="0060768A">
        <w:rPr>
          <w:szCs w:val="22"/>
        </w:rPr>
        <w:t>Yuande</w:t>
      </w:r>
      <w:proofErr w:type="spellEnd"/>
      <w:r>
        <w:rPr>
          <w:szCs w:val="22"/>
        </w:rPr>
        <w:t>,</w:t>
      </w:r>
      <w:r w:rsidRPr="0060768A">
        <w:rPr>
          <w:szCs w:val="22"/>
        </w:rPr>
        <w:t xml:space="preserve"> coined a</w:t>
      </w:r>
      <w:r>
        <w:rPr>
          <w:szCs w:val="22"/>
        </w:rPr>
        <w:t xml:space="preserve"> </w:t>
      </w:r>
      <w:hyperlink r:id="rId1" w:history="1">
        <w:r w:rsidRPr="00E34334">
          <w:rPr>
            <w:rStyle w:val="Hyperlink"/>
            <w:szCs w:val="22"/>
          </w:rPr>
          <w:t>third-person pronoun</w:t>
        </w:r>
      </w:hyperlink>
      <w:r>
        <w:rPr>
          <w:szCs w:val="22"/>
        </w:rPr>
        <w:t xml:space="preserve"> whose written form shows</w:t>
      </w:r>
      <w:r w:rsidRPr="0060768A">
        <w:rPr>
          <w:szCs w:val="22"/>
        </w:rPr>
        <w:t xml:space="preserve"> that God has no gender aside from being God</w:t>
      </w:r>
      <w:r>
        <w:rPr>
          <w:szCs w:val="22"/>
        </w:rPr>
        <w:t>.</w:t>
      </w:r>
      <w:r w:rsidRPr="003F76A3">
        <w:rPr>
          <w:szCs w:val="22"/>
        </w:rPr>
        <w:t xml:space="preserve"> </w:t>
      </w:r>
      <w:r w:rsidR="002A6161">
        <w:rPr>
          <w:rFonts w:eastAsia="Times New Roman"/>
          <w:szCs w:val="22"/>
        </w:rPr>
        <w:t xml:space="preserve">The </w:t>
      </w:r>
      <w:r w:rsidRPr="003F76A3">
        <w:rPr>
          <w:rFonts w:eastAsia="Times New Roman"/>
          <w:szCs w:val="22"/>
        </w:rPr>
        <w:t>German translation</w:t>
      </w:r>
      <w:r>
        <w:rPr>
          <w:rFonts w:eastAsia="Times New Roman"/>
          <w:szCs w:val="22"/>
        </w:rPr>
        <w:t xml:space="preserve"> </w:t>
      </w:r>
      <w:hyperlink r:id="rId2" w:history="1">
        <w:proofErr w:type="spellStart"/>
        <w:r w:rsidRPr="002A6161">
          <w:rPr>
            <w:rStyle w:val="Hyperlink"/>
            <w:rFonts w:eastAsia="Times New Roman"/>
            <w:i/>
            <w:iCs/>
            <w:szCs w:val="22"/>
          </w:rPr>
          <w:t>Bibel</w:t>
        </w:r>
        <w:proofErr w:type="spellEnd"/>
        <w:r w:rsidRPr="002A6161">
          <w:rPr>
            <w:rStyle w:val="Hyperlink"/>
            <w:rFonts w:eastAsia="Times New Roman"/>
            <w:i/>
            <w:iCs/>
            <w:szCs w:val="22"/>
          </w:rPr>
          <w:t xml:space="preserve"> in </w:t>
        </w:r>
        <w:proofErr w:type="spellStart"/>
        <w:r w:rsidRPr="002A6161">
          <w:rPr>
            <w:rStyle w:val="Hyperlink"/>
            <w:rFonts w:eastAsia="Times New Roman"/>
            <w:i/>
            <w:iCs/>
            <w:szCs w:val="22"/>
          </w:rPr>
          <w:t>gerechter</w:t>
        </w:r>
        <w:proofErr w:type="spellEnd"/>
        <w:r w:rsidRPr="002A6161">
          <w:rPr>
            <w:rStyle w:val="Hyperlink"/>
            <w:rFonts w:eastAsia="Times New Roman"/>
            <w:i/>
            <w:iCs/>
            <w:szCs w:val="22"/>
          </w:rPr>
          <w:t xml:space="preserve"> </w:t>
        </w:r>
        <w:proofErr w:type="spellStart"/>
        <w:r w:rsidRPr="002A6161">
          <w:rPr>
            <w:rStyle w:val="Hyperlink"/>
            <w:rFonts w:eastAsia="Times New Roman"/>
            <w:i/>
            <w:iCs/>
            <w:szCs w:val="22"/>
          </w:rPr>
          <w:t>Sprache</w:t>
        </w:r>
        <w:proofErr w:type="spellEnd"/>
      </w:hyperlink>
      <w:r>
        <w:rPr>
          <w:rFonts w:eastAsia="Times New Roman"/>
          <w:color w:val="000000"/>
          <w:szCs w:val="22"/>
        </w:rPr>
        <w:t xml:space="preserve"> </w:t>
      </w:r>
      <w:r w:rsidR="002A6161">
        <w:rPr>
          <w:rFonts w:eastAsia="Times New Roman"/>
          <w:color w:val="000000"/>
          <w:szCs w:val="22"/>
        </w:rPr>
        <w:t>(</w:t>
      </w:r>
      <w:r w:rsidR="002A6161" w:rsidRPr="003F76A3">
        <w:rPr>
          <w:rFonts w:eastAsia="Times New Roman"/>
          <w:szCs w:val="22"/>
        </w:rPr>
        <w:t>2006</w:t>
      </w:r>
      <w:r w:rsidR="002A6161">
        <w:rPr>
          <w:rFonts w:eastAsia="Times New Roman"/>
          <w:color w:val="000000"/>
          <w:szCs w:val="22"/>
        </w:rPr>
        <w:t xml:space="preserve">) </w:t>
      </w:r>
      <w:r w:rsidRPr="00791BAF">
        <w:rPr>
          <w:rFonts w:eastAsia="Times New Roman"/>
          <w:color w:val="000000"/>
          <w:szCs w:val="22"/>
        </w:rPr>
        <w:t>refer</w:t>
      </w:r>
      <w:r w:rsidR="002A6161">
        <w:rPr>
          <w:rFonts w:eastAsia="Times New Roman"/>
          <w:color w:val="000000"/>
          <w:szCs w:val="22"/>
        </w:rPr>
        <w:t>s</w:t>
      </w:r>
      <w:r w:rsidRPr="00791BAF">
        <w:rPr>
          <w:rFonts w:eastAsia="Times New Roman"/>
          <w:color w:val="000000"/>
          <w:szCs w:val="22"/>
        </w:rPr>
        <w:t xml:space="preserve"> to God </w:t>
      </w:r>
      <w:r>
        <w:rPr>
          <w:rFonts w:eastAsia="Times New Roman"/>
          <w:color w:val="000000"/>
          <w:szCs w:val="22"/>
        </w:rPr>
        <w:t xml:space="preserve">by alternately </w:t>
      </w:r>
      <w:r w:rsidRPr="00791BAF">
        <w:rPr>
          <w:rFonts w:eastAsia="Times New Roman"/>
          <w:color w:val="000000"/>
          <w:szCs w:val="22"/>
        </w:rPr>
        <w:t>using masculine and feminine forms</w:t>
      </w:r>
      <w:r>
        <w:rPr>
          <w:rFonts w:eastAsia="Times New Roman"/>
          <w:color w:val="000000"/>
          <w:szCs w:val="22"/>
        </w:rPr>
        <w:t xml:space="preserve"> (since German requires one or the other, practically speaking).</w:t>
      </w:r>
      <w:r>
        <w:rPr>
          <w:rFonts w:eastAsia="Times New Roman"/>
          <w:szCs w:val="22"/>
        </w:rPr>
        <w:t xml:space="preserve"> </w:t>
      </w:r>
      <w:r w:rsidRPr="00791BAF">
        <w:rPr>
          <w:rFonts w:eastAsia="Times New Roman"/>
          <w:color w:val="000000"/>
          <w:szCs w:val="22"/>
        </w:rPr>
        <w:t xml:space="preserve">As for the English language, </w:t>
      </w:r>
      <w:hyperlink r:id="rId3" w:history="1">
        <w:r w:rsidRPr="00791BAF">
          <w:rPr>
            <w:rFonts w:eastAsia="Times New Roman"/>
            <w:i/>
            <w:iCs/>
            <w:color w:val="0000FF"/>
            <w:szCs w:val="22"/>
            <w:u w:val="single"/>
          </w:rPr>
          <w:t>The Inclusive Bible</w:t>
        </w:r>
      </w:hyperlink>
      <w:r w:rsidRPr="00791BAF">
        <w:rPr>
          <w:rFonts w:eastAsia="Times New Roman"/>
          <w:color w:val="000000"/>
          <w:szCs w:val="22"/>
        </w:rPr>
        <w:t xml:space="preserve"> (2009) avoids pronouns for God. </w:t>
      </w:r>
    </w:p>
  </w:footnote>
  <w:footnote w:id="53">
    <w:p w14:paraId="571BAE30" w14:textId="6D52C69F" w:rsidR="00193A80" w:rsidRDefault="00193A80" w:rsidP="00193A80">
      <w:pPr>
        <w:pStyle w:val="FootnoteText"/>
      </w:pPr>
      <w:r>
        <w:rPr>
          <w:rStyle w:val="FootnoteReference"/>
        </w:rPr>
        <w:footnoteRef/>
      </w:r>
      <w:r>
        <w:t xml:space="preserve"> On </w:t>
      </w:r>
      <w:r w:rsidR="00E727A1" w:rsidRPr="00E727A1">
        <w:rPr>
          <w:rFonts w:ascii="SBL BibLit" w:hAnsi="SBL BibLit" w:cs="SBL BibLit"/>
          <w:sz w:val="24"/>
          <w:szCs w:val="22"/>
          <w:rtl/>
        </w:rPr>
        <w:t>אִישׁ</w:t>
      </w:r>
      <w:r>
        <w:t xml:space="preserve"> as an</w:t>
      </w:r>
      <w:r w:rsidR="00E727A1">
        <w:t>other</w:t>
      </w:r>
      <w:r>
        <w:t xml:space="preserve"> label</w:t>
      </w:r>
      <w:r w:rsidR="00AC64BF">
        <w:t xml:space="preserve"> </w:t>
      </w:r>
      <w:r>
        <w:t xml:space="preserve">for divine </w:t>
      </w:r>
      <w:r w:rsidR="00AC64BF">
        <w:t>agents</w:t>
      </w:r>
      <w:r>
        <w:t xml:space="preserve">, see </w:t>
      </w:r>
      <w:r w:rsidR="00E727A1">
        <w:t xml:space="preserve">above under </w:t>
      </w:r>
      <w:r w:rsidR="00995968">
        <w:t>“</w:t>
      </w:r>
      <w:r w:rsidR="00E727A1" w:rsidRPr="00E727A1">
        <w:t xml:space="preserve">The Construal of </w:t>
      </w:r>
      <w:r w:rsidR="00E727A1" w:rsidRPr="00E727A1">
        <w:rPr>
          <w:rFonts w:ascii="SBL BibLit" w:hAnsi="SBL BibLit" w:cs="SBL BibLit"/>
          <w:sz w:val="24"/>
          <w:szCs w:val="22"/>
          <w:rtl/>
        </w:rPr>
        <w:t>אִישׁ</w:t>
      </w:r>
      <w:r>
        <w:t>.</w:t>
      </w:r>
      <w:r w:rsidR="00995968">
        <w:t>”</w:t>
      </w:r>
    </w:p>
  </w:footnote>
  <w:footnote w:id="54">
    <w:p w14:paraId="0A9C17A6" w14:textId="0F027BC4" w:rsidR="00485384" w:rsidRDefault="00485384" w:rsidP="00485384">
      <w:pPr>
        <w:pStyle w:val="FootnoteText"/>
      </w:pPr>
      <w:r>
        <w:rPr>
          <w:rStyle w:val="FootnoteReference"/>
        </w:rPr>
        <w:footnoteRef/>
      </w:r>
      <w:r>
        <w:t xml:space="preserve"> </w:t>
      </w:r>
      <w:r w:rsidRPr="00BD7F31">
        <w:t>“</w:t>
      </w:r>
      <w:r>
        <w:t>M</w:t>
      </w:r>
      <w:r w:rsidRPr="00BD7F31">
        <w:t>essenger”</w:t>
      </w:r>
      <w:r>
        <w:t xml:space="preserve"> in English</w:t>
      </w:r>
      <w:r w:rsidRPr="00BD7F31">
        <w:t xml:space="preserve"> designates </w:t>
      </w:r>
      <w:r>
        <w:t>an agent</w:t>
      </w:r>
      <w:r w:rsidRPr="00BD7F31">
        <w:t xml:space="preserve"> who </w:t>
      </w:r>
      <w:r>
        <w:t>performs</w:t>
      </w:r>
      <w:r w:rsidRPr="00BD7F31">
        <w:t xml:space="preserve"> any kind of errand.</w:t>
      </w:r>
      <w:r>
        <w:t xml:space="preserve"> </w:t>
      </w:r>
    </w:p>
  </w:footnote>
  <w:footnote w:id="55">
    <w:p w14:paraId="533339BA" w14:textId="7C225207" w:rsidR="008F13C2" w:rsidRDefault="008F13C2" w:rsidP="008F13C2">
      <w:pPr>
        <w:pStyle w:val="FootnoteText"/>
      </w:pPr>
      <w:r>
        <w:rPr>
          <w:rStyle w:val="FootnoteReference"/>
        </w:rPr>
        <w:footnoteRef/>
      </w:r>
      <w:r>
        <w:t xml:space="preserve"> Or alternatively, </w:t>
      </w:r>
      <w:r w:rsidR="004F57BC">
        <w:t xml:space="preserve">the dual reference is achieved </w:t>
      </w:r>
      <w:r>
        <w:t xml:space="preserve">while speaking only </w:t>
      </w:r>
      <w:r w:rsidRPr="00854B71">
        <w:rPr>
          <w:i/>
          <w:iCs/>
        </w:rPr>
        <w:t>as</w:t>
      </w:r>
      <w:r>
        <w:t xml:space="preserve"> the principal, or only </w:t>
      </w:r>
      <w:r w:rsidRPr="00854B71">
        <w:rPr>
          <w:i/>
          <w:iCs/>
        </w:rPr>
        <w:t>to</w:t>
      </w:r>
      <w:r>
        <w:t xml:space="preserve"> the principal. </w:t>
      </w:r>
      <w:r w:rsidRPr="00D96B69">
        <w:t xml:space="preserve">For this linguistic convention, see </w:t>
      </w:r>
      <w:r>
        <w:t xml:space="preserve">Gen. </w:t>
      </w:r>
      <w:r w:rsidRPr="00D96B69">
        <w:t xml:space="preserve">19.12–14; Judg. 11.19; Isa. 7.10; cf. </w:t>
      </w:r>
      <w:proofErr w:type="spellStart"/>
      <w:r w:rsidRPr="00D96B69">
        <w:t>Rashbam</w:t>
      </w:r>
      <w:proofErr w:type="spellEnd"/>
      <w:r w:rsidRPr="00D96B69">
        <w:t xml:space="preserve"> and Kimhi at Gen. 19.24; Kimhi at 31.3; Ibn Ezra at Exod. 3.4, 7</w:t>
      </w:r>
      <w:r>
        <w:t>; Isa. 7.10</w:t>
      </w:r>
      <w:r w:rsidRPr="00D96B69">
        <w:t xml:space="preserve">; Kimhi at Josh. 6.2; Zech. 3.2; </w:t>
      </w:r>
      <w:proofErr w:type="spellStart"/>
      <w:r w:rsidRPr="00D96B69">
        <w:t>Gersonides</w:t>
      </w:r>
      <w:proofErr w:type="spellEnd"/>
      <w:r w:rsidRPr="00D96B69">
        <w:t xml:space="preserve"> at Judg. 6.14.</w:t>
      </w:r>
      <w:r>
        <w:t xml:space="preserve"> </w:t>
      </w:r>
    </w:p>
  </w:footnote>
  <w:footnote w:id="56">
    <w:p w14:paraId="7B0FAE60" w14:textId="4F9F5012" w:rsidR="00CC5F8B" w:rsidRDefault="00CC5F8B" w:rsidP="00CC5F8B">
      <w:pPr>
        <w:pStyle w:val="FootnoteText"/>
      </w:pPr>
      <w:r>
        <w:rPr>
          <w:rStyle w:val="FootnoteReference"/>
        </w:rPr>
        <w:footnoteRef/>
      </w:r>
      <w:r>
        <w:t xml:space="preserve"> E.g., in the book of Genesis alone: </w:t>
      </w:r>
      <w:r w:rsidRPr="008C468D">
        <w:t>16</w:t>
      </w:r>
      <w:r>
        <w:t>.</w:t>
      </w:r>
      <w:r w:rsidRPr="008C468D">
        <w:t>13</w:t>
      </w:r>
      <w:r>
        <w:t xml:space="preserve">; 17.22; </w:t>
      </w:r>
      <w:r w:rsidRPr="0068396E">
        <w:t>18</w:t>
      </w:r>
      <w:r>
        <w:t xml:space="preserve">.13, 22, 33; </w:t>
      </w:r>
      <w:r w:rsidRPr="008C468D">
        <w:t>21</w:t>
      </w:r>
      <w:r>
        <w:t>.</w:t>
      </w:r>
      <w:r w:rsidRPr="008C468D">
        <w:t>17–18</w:t>
      </w:r>
      <w:r>
        <w:t xml:space="preserve">; </w:t>
      </w:r>
      <w:r w:rsidRPr="008C468D">
        <w:t>22</w:t>
      </w:r>
      <w:r>
        <w:t>.</w:t>
      </w:r>
      <w:r w:rsidRPr="008C468D">
        <w:t>11–14</w:t>
      </w:r>
      <w:r>
        <w:t xml:space="preserve">; </w:t>
      </w:r>
      <w:r w:rsidRPr="008C468D">
        <w:t>31</w:t>
      </w:r>
      <w:r>
        <w:t>.</w:t>
      </w:r>
      <w:r w:rsidRPr="008C468D">
        <w:t>3, 11–13</w:t>
      </w:r>
      <w:r>
        <w:t xml:space="preserve">; </w:t>
      </w:r>
      <w:r w:rsidRPr="00E46A5F">
        <w:t>32</w:t>
      </w:r>
      <w:r>
        <w:t>.</w:t>
      </w:r>
      <w:r w:rsidRPr="00E46A5F">
        <w:t>23–33</w:t>
      </w:r>
      <w:r>
        <w:t>; 35.9–13.</w:t>
      </w:r>
    </w:p>
  </w:footnote>
  <w:footnote w:id="57">
    <w:p w14:paraId="76FA50B6" w14:textId="2244B731" w:rsidR="00E24833" w:rsidRDefault="00E24833" w:rsidP="00E24833">
      <w:pPr>
        <w:pStyle w:val="FootnoteText"/>
      </w:pPr>
      <w:r>
        <w:rPr>
          <w:rStyle w:val="FootnoteReference"/>
        </w:rPr>
        <w:footnoteRef/>
      </w:r>
      <w:r>
        <w:t xml:space="preserve"> On conventional metonymy, see above under </w:t>
      </w:r>
      <w:r w:rsidR="00244D66">
        <w:t>“</w:t>
      </w:r>
      <w:r w:rsidR="00995968" w:rsidRPr="00995968">
        <w:t>Gender and Figurative Language</w:t>
      </w:r>
      <w:r w:rsidRPr="00B45606">
        <w:t>.</w:t>
      </w:r>
      <w:r w:rsidR="00244D66">
        <w:t>”</w:t>
      </w:r>
    </w:p>
  </w:footnote>
  <w:footnote w:id="58">
    <w:p w14:paraId="35A6E53A" w14:textId="2AD777C0" w:rsidR="009D2FA5" w:rsidRPr="009D2FA5" w:rsidRDefault="009D2FA5">
      <w:pPr>
        <w:pStyle w:val="FootnoteText"/>
      </w:pPr>
      <w:r>
        <w:rPr>
          <w:rStyle w:val="FootnoteReference"/>
        </w:rPr>
        <w:footnoteRef/>
      </w:r>
      <w:r>
        <w:t xml:space="preserve"> Related to this problem is the construal of the verb</w:t>
      </w:r>
      <w:r w:rsidR="00F5036C">
        <w:t xml:space="preserve"> whose root is</w:t>
      </w:r>
      <w:r>
        <w:t xml:space="preserve"> </w:t>
      </w:r>
      <w:r w:rsidRPr="009D2FA5">
        <w:rPr>
          <w:rFonts w:hAnsi="SBL BibLit" w:cs="SBL BibLit" w:hint="cs"/>
          <w:sz w:val="32"/>
          <w:szCs w:val="24"/>
          <w:rtl/>
        </w:rPr>
        <w:t>ראה</w:t>
      </w:r>
      <w:r w:rsidRPr="009D2FA5">
        <w:rPr>
          <w:sz w:val="32"/>
          <w:szCs w:val="26"/>
        </w:rPr>
        <w:t xml:space="preserve"> </w:t>
      </w:r>
      <w:r w:rsidR="00F5036C" w:rsidRPr="00F5036C">
        <w:rPr>
          <w:rFonts w:cs="Times New Roman"/>
          <w:i/>
          <w:iCs/>
          <w:szCs w:val="22"/>
        </w:rPr>
        <w:t>r-’-h</w:t>
      </w:r>
      <w:r w:rsidR="00F5036C">
        <w:rPr>
          <w:sz w:val="32"/>
          <w:szCs w:val="26"/>
        </w:rPr>
        <w:t xml:space="preserve"> </w:t>
      </w:r>
      <w:r>
        <w:t xml:space="preserve">in the </w:t>
      </w:r>
      <w:proofErr w:type="spellStart"/>
      <w:r>
        <w:t>Niphal</w:t>
      </w:r>
      <w:proofErr w:type="spellEnd"/>
      <w:r>
        <w:t xml:space="preserve"> stem when it is applied to </w:t>
      </w:r>
      <w:r>
        <w:rPr>
          <w:smallCaps/>
        </w:rPr>
        <w:t>God</w:t>
      </w:r>
      <w:r>
        <w:t xml:space="preserve"> or to persons. Customarily, English translations render it literally as “</w:t>
      </w:r>
      <w:r w:rsidR="00F5036C">
        <w:t xml:space="preserve">to </w:t>
      </w:r>
      <w:r>
        <w:t>appear,” which implies a visual manifestation</w:t>
      </w:r>
      <w:r w:rsidR="00330227">
        <w:t>—</w:t>
      </w:r>
      <w:r w:rsidR="00962046">
        <w:t>which in turn tends to imply that the Deity is displaying a</w:t>
      </w:r>
      <w:r w:rsidR="00330227">
        <w:t xml:space="preserve"> (</w:t>
      </w:r>
      <w:r w:rsidR="00B653B0">
        <w:t xml:space="preserve">presumably </w:t>
      </w:r>
      <w:r w:rsidR="00330227">
        <w:t>gendered)</w:t>
      </w:r>
      <w:r w:rsidR="00962046">
        <w:t xml:space="preserve"> body</w:t>
      </w:r>
      <w:r>
        <w:t>. Yet most instances</w:t>
      </w:r>
      <w:r w:rsidR="00617FDC">
        <w:t xml:space="preserve"> lack support for such a meaning</w:t>
      </w:r>
      <w:r w:rsidR="001860E7">
        <w:t xml:space="preserve"> in the original text</w:t>
      </w:r>
      <w:r w:rsidR="00617FDC">
        <w:t xml:space="preserve">. </w:t>
      </w:r>
      <w:r w:rsidR="00C54F81">
        <w:t>Arguably</w:t>
      </w:r>
      <w:r w:rsidR="00617FDC">
        <w:t xml:space="preserve"> </w:t>
      </w:r>
      <w:r w:rsidR="00F5036C">
        <w:t xml:space="preserve">that verb is most often used to denote </w:t>
      </w:r>
      <w:r w:rsidR="00F5036C">
        <w:rPr>
          <w:i/>
          <w:iCs/>
        </w:rPr>
        <w:t>the advent of a communication event</w:t>
      </w:r>
      <w:r w:rsidR="00F5036C">
        <w:t xml:space="preserve">. </w:t>
      </w:r>
      <w:r w:rsidR="00C54F81">
        <w:rPr>
          <w:rFonts w:eastAsia="Arial Unicode MS" w:cs="Arial Unicode MS"/>
        </w:rPr>
        <w:t xml:space="preserve">Ancient Hebrew idiom apparently expressed this abstract idea by drawing upon the sense of </w:t>
      </w:r>
      <w:r w:rsidR="00C54F81" w:rsidRPr="00F5036C">
        <w:rPr>
          <w:rFonts w:eastAsia="Arial Unicode MS" w:cs="Arial Unicode MS"/>
        </w:rPr>
        <w:t>sight</w:t>
      </w:r>
      <w:r w:rsidR="00C54F81">
        <w:rPr>
          <w:rFonts w:eastAsia="Arial Unicode MS" w:cs="Arial Unicode MS"/>
        </w:rPr>
        <w:t>, much as</w:t>
      </w:r>
      <w:r w:rsidR="00C54F81">
        <w:t xml:space="preserve"> </w:t>
      </w:r>
      <w:r w:rsidR="00F5036C">
        <w:t>English idiom</w:t>
      </w:r>
      <w:r w:rsidR="00C54F81">
        <w:t xml:space="preserve"> draws upon </w:t>
      </w:r>
      <w:r w:rsidR="00C54F81">
        <w:rPr>
          <w:rFonts w:eastAsia="Arial Unicode MS" w:cs="Arial Unicode MS"/>
        </w:rPr>
        <w:t xml:space="preserve">the sense of </w:t>
      </w:r>
      <w:r w:rsidR="00C54F81" w:rsidRPr="00F5036C">
        <w:rPr>
          <w:rFonts w:eastAsia="Arial Unicode MS" w:cs="Arial Unicode MS"/>
        </w:rPr>
        <w:t>touch</w:t>
      </w:r>
      <w:r w:rsidR="00C54F81">
        <w:rPr>
          <w:rFonts w:eastAsia="Arial Unicode MS" w:cs="Arial Unicode MS"/>
        </w:rPr>
        <w:t>;</w:t>
      </w:r>
      <w:r w:rsidR="00F5036C">
        <w:t xml:space="preserve"> </w:t>
      </w:r>
      <w:r w:rsidR="00962046">
        <w:t xml:space="preserve">when </w:t>
      </w:r>
      <w:r w:rsidR="00F5036C">
        <w:t xml:space="preserve">we </w:t>
      </w:r>
      <w:r w:rsidR="00330227">
        <w:t xml:space="preserve">customarily </w:t>
      </w:r>
      <w:r w:rsidR="00F5036C">
        <w:t xml:space="preserve">say that </w:t>
      </w:r>
      <w:r w:rsidR="00962046">
        <w:t>someone</w:t>
      </w:r>
      <w:r w:rsidR="00F5036C">
        <w:t xml:space="preserve"> “ma</w:t>
      </w:r>
      <w:r w:rsidR="00962046">
        <w:t>k</w:t>
      </w:r>
      <w:r w:rsidR="00F5036C">
        <w:t>e</w:t>
      </w:r>
      <w:r w:rsidR="00962046">
        <w:t>s</w:t>
      </w:r>
      <w:r w:rsidR="00F5036C">
        <w:t xml:space="preserve"> contact with” </w:t>
      </w:r>
      <w:r w:rsidR="00962046">
        <w:t>another person, it is not meant</w:t>
      </w:r>
      <w:r w:rsidR="00330227">
        <w:t xml:space="preserve"> or taken</w:t>
      </w:r>
      <w:r w:rsidR="00962046">
        <w:t xml:space="preserve"> literally</w:t>
      </w:r>
      <w:r w:rsidR="00F5036C">
        <w:t xml:space="preserve">. </w:t>
      </w:r>
      <w:r w:rsidR="00962046">
        <w:t xml:space="preserve">In </w:t>
      </w:r>
      <w:r w:rsidR="00330227">
        <w:t>cases where G</w:t>
      </w:r>
      <w:r w:rsidR="00330227">
        <w:rPr>
          <w:smallCaps/>
        </w:rPr>
        <w:t>od</w:t>
      </w:r>
      <w:r w:rsidR="00330227">
        <w:t xml:space="preserve"> is the subject, t</w:t>
      </w:r>
      <w:r w:rsidR="00C54F81">
        <w:t xml:space="preserve">his edition offers </w:t>
      </w:r>
      <w:r w:rsidR="00962046">
        <w:t xml:space="preserve">the nonliteral </w:t>
      </w:r>
      <w:r w:rsidR="00330227">
        <w:t>construal</w:t>
      </w:r>
      <w:r w:rsidR="00962046">
        <w:t xml:space="preserve"> in a footnote, as an alternative</w:t>
      </w:r>
      <w:r w:rsidR="00C54F81">
        <w:t>.</w:t>
      </w:r>
    </w:p>
  </w:footnote>
  <w:footnote w:id="59">
    <w:p w14:paraId="0FA9B76B" w14:textId="58DA5C3B" w:rsidR="00196AC2" w:rsidRPr="009D2FA5" w:rsidRDefault="00196AC2" w:rsidP="003A179B">
      <w:pPr>
        <w:pStyle w:val="FootnoteText"/>
      </w:pPr>
      <w:r>
        <w:rPr>
          <w:rStyle w:val="FootnoteReference"/>
        </w:rPr>
        <w:footnoteRef/>
      </w:r>
      <w:r>
        <w:t xml:space="preserve"> </w:t>
      </w:r>
      <w:r w:rsidR="00397544">
        <w:t>Among</w:t>
      </w:r>
      <w:r>
        <w:t xml:space="preserve"> the</w:t>
      </w:r>
      <w:r w:rsidR="00B653B0">
        <w:t xml:space="preserve"> varied</w:t>
      </w:r>
      <w:r>
        <w:t xml:space="preserve"> ancient </w:t>
      </w:r>
      <w:r w:rsidR="00397544">
        <w:t>us</w:t>
      </w:r>
      <w:r w:rsidR="00DC28B3">
        <w:t>ag</w:t>
      </w:r>
      <w:r w:rsidR="00397544">
        <w:t>e</w:t>
      </w:r>
      <w:r w:rsidR="00DC28B3">
        <w:t>s</w:t>
      </w:r>
      <w:r w:rsidR="00397544">
        <w:t xml:space="preserve"> of conventional metonymy to </w:t>
      </w:r>
      <w:r>
        <w:t>depict divine communication</w:t>
      </w:r>
      <w:r w:rsidR="00397544">
        <w:t xml:space="preserve"> with humans</w:t>
      </w:r>
      <w:r>
        <w:t xml:space="preserve"> via an intermediary, one</w:t>
      </w:r>
      <w:r w:rsidR="00B653B0">
        <w:t xml:space="preserve"> type</w:t>
      </w:r>
      <w:r>
        <w:t xml:space="preserve"> is conventional </w:t>
      </w:r>
      <w:r w:rsidR="003A179B">
        <w:t xml:space="preserve">also </w:t>
      </w:r>
      <w:r>
        <w:t xml:space="preserve">in English, namely </w:t>
      </w:r>
      <w:r w:rsidR="00397544">
        <w:t>for</w:t>
      </w:r>
      <w:r>
        <w:t xml:space="preserve"> communication via an oracle, as in</w:t>
      </w:r>
      <w:r w:rsidR="003A179B">
        <w:t xml:space="preserve"> “She went to inquire of </w:t>
      </w:r>
      <w:r w:rsidR="003A179B">
        <w:rPr>
          <w:smallCaps/>
        </w:rPr>
        <w:t>God</w:t>
      </w:r>
      <w:r w:rsidR="003A179B">
        <w:t xml:space="preserve">, and </w:t>
      </w:r>
      <w:r w:rsidR="003A179B">
        <w:rPr>
          <w:smallCaps/>
        </w:rPr>
        <w:t>God</w:t>
      </w:r>
      <w:r w:rsidR="003A179B">
        <w:t xml:space="preserve"> answered her”</w:t>
      </w:r>
      <w:r>
        <w:t xml:space="preserve"> </w:t>
      </w:r>
      <w:r w:rsidR="003A179B">
        <w:t>(</w:t>
      </w:r>
      <w:r>
        <w:t>Gen. 25.22–23</w:t>
      </w:r>
      <w:r w:rsidR="003A179B">
        <w:t>)</w:t>
      </w:r>
      <w:r>
        <w:t>.</w:t>
      </w:r>
      <w:r w:rsidR="003A179B">
        <w:t xml:space="preserve"> </w:t>
      </w:r>
      <w:r w:rsidR="00F057B2">
        <w:t xml:space="preserve">From the first clause, modern readers infer </w:t>
      </w:r>
      <w:r w:rsidR="00B653B0">
        <w:t xml:space="preserve">that </w:t>
      </w:r>
      <w:r w:rsidR="00F057B2">
        <w:t>an oracle’s presence in the scene (vague and mysterious though it may be) goes without saying. They then</w:t>
      </w:r>
      <w:r w:rsidR="0008215B">
        <w:t xml:space="preserve"> </w:t>
      </w:r>
      <w:r w:rsidR="003A179B">
        <w:t xml:space="preserve">know not to construe the second clause </w:t>
      </w:r>
      <w:r w:rsidR="00B653B0">
        <w:t>literally</w:t>
      </w:r>
      <w:r w:rsidR="003A179B">
        <w:t>.</w:t>
      </w:r>
      <w:r w:rsidR="0008215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9545" w14:textId="594E3772" w:rsidR="00383443" w:rsidRPr="00383443" w:rsidRDefault="00383443" w:rsidP="00383443">
    <w:pPr>
      <w:pStyle w:val="Header"/>
      <w:jc w:val="right"/>
      <w:rPr>
        <w:i/>
        <w:iCs/>
      </w:rPr>
    </w:pPr>
    <w:r w:rsidRPr="003E5588">
      <w:rPr>
        <w:rFonts w:cs="Times New Roman"/>
        <w:i/>
        <w:iCs/>
      </w:rPr>
      <w:fldChar w:fldCharType="begin"/>
    </w:r>
    <w:r w:rsidRPr="003E5588">
      <w:rPr>
        <w:rFonts w:cs="Times New Roman"/>
        <w:i/>
        <w:iCs/>
      </w:rPr>
      <w:instrText xml:space="preserve"> FILENAME </w:instrText>
    </w:r>
    <w:r w:rsidRPr="003E5588">
      <w:rPr>
        <w:i/>
        <w:iCs/>
      </w:rPr>
      <w:fldChar w:fldCharType="separate"/>
    </w:r>
    <w:r w:rsidR="00C02773">
      <w:rPr>
        <w:rFonts w:cs="Times New Roman"/>
        <w:i/>
        <w:iCs/>
        <w:noProof/>
      </w:rPr>
      <w:t>RJPS.Notes_on_Gender.1Sep22.docx</w:t>
    </w:r>
    <w:r w:rsidRPr="003E5588">
      <w:rPr>
        <w:rFonts w:cs="Times New Roman"/>
        <w:i/>
        <w:iCs/>
      </w:rPr>
      <w:fldChar w:fldCharType="end"/>
    </w:r>
    <w:r w:rsidRPr="003E5588">
      <w:rPr>
        <w:i/>
        <w:iCs/>
      </w:rPr>
      <w:t xml:space="preserve"> • </w:t>
    </w:r>
    <w:r w:rsidRPr="003E5588">
      <w:rPr>
        <w:rFonts w:cs="Times New Roman"/>
        <w:i/>
        <w:iCs/>
      </w:rPr>
      <w:t xml:space="preserve">Page </w:t>
    </w:r>
    <w:r w:rsidRPr="003E5588">
      <w:rPr>
        <w:rFonts w:cs="Times New Roman"/>
        <w:i/>
        <w:iCs/>
      </w:rPr>
      <w:fldChar w:fldCharType="begin"/>
    </w:r>
    <w:r w:rsidRPr="003E5588">
      <w:rPr>
        <w:rFonts w:cs="Times New Roman"/>
        <w:i/>
        <w:iCs/>
      </w:rPr>
      <w:instrText xml:space="preserve"> PAGE </w:instrText>
    </w:r>
    <w:r w:rsidRPr="003E5588">
      <w:rPr>
        <w:i/>
        <w:iCs/>
      </w:rPr>
      <w:fldChar w:fldCharType="separate"/>
    </w:r>
    <w:r>
      <w:rPr>
        <w:i/>
        <w:iCs/>
      </w:rPr>
      <w:t>1</w:t>
    </w:r>
    <w:r w:rsidRPr="003E5588">
      <w:rPr>
        <w:rFonts w:cs="Times New Roman"/>
        <w:i/>
        <w:iCs/>
      </w:rPr>
      <w:fldChar w:fldCharType="end"/>
    </w:r>
    <w:r w:rsidRPr="003E5588">
      <w:rPr>
        <w:rFonts w:cs="Times New Roman"/>
        <w:i/>
        <w:iCs/>
      </w:rPr>
      <w:t xml:space="preserve"> of </w:t>
    </w:r>
    <w:r w:rsidRPr="003E5588">
      <w:rPr>
        <w:rFonts w:cs="Times New Roman"/>
        <w:i/>
        <w:iCs/>
      </w:rPr>
      <w:fldChar w:fldCharType="begin"/>
    </w:r>
    <w:r w:rsidRPr="003E5588">
      <w:rPr>
        <w:rFonts w:cs="Times New Roman"/>
        <w:i/>
        <w:iCs/>
      </w:rPr>
      <w:instrText xml:space="preserve"> NUMPAGES </w:instrText>
    </w:r>
    <w:r w:rsidRPr="003E5588">
      <w:rPr>
        <w:i/>
        <w:iCs/>
      </w:rPr>
      <w:fldChar w:fldCharType="separate"/>
    </w:r>
    <w:r>
      <w:rPr>
        <w:i/>
        <w:iCs/>
      </w:rPr>
      <w:t>10</w:t>
    </w:r>
    <w:r w:rsidRPr="003E5588">
      <w:rPr>
        <w:rFonts w:cs="Times New Roman"/>
        <w:i/>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CDE"/>
    <w:multiLevelType w:val="multilevel"/>
    <w:tmpl w:val="88E89B10"/>
    <w:lvl w:ilvl="0">
      <w:start w:val="1"/>
      <w:numFmt w:val="bullet"/>
      <w:lvlText w:val="○"/>
      <w:lvlJc w:val="left"/>
      <w:pPr>
        <w:ind w:left="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1F6C181E"/>
    <w:multiLevelType w:val="multilevel"/>
    <w:tmpl w:val="C7E8A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A5D76"/>
    <w:multiLevelType w:val="multilevel"/>
    <w:tmpl w:val="8F4CF8D2"/>
    <w:lvl w:ilvl="0">
      <w:start w:val="1"/>
      <w:numFmt w:val="decimal"/>
      <w:lvlText w:val="%1."/>
      <w:lvlJc w:val="left"/>
      <w:pPr>
        <w:ind w:left="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2EF64855"/>
    <w:multiLevelType w:val="multilevel"/>
    <w:tmpl w:val="5CA0BAC2"/>
    <w:lvl w:ilvl="0">
      <w:start w:val="1"/>
      <w:numFmt w:val="decimal"/>
      <w:lvlText w:val="%1."/>
      <w:lvlJc w:val="left"/>
      <w:pPr>
        <w:ind w:left="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A201DA2"/>
    <w:multiLevelType w:val="multilevel"/>
    <w:tmpl w:val="07E65310"/>
    <w:lvl w:ilvl="0">
      <w:start w:val="1"/>
      <w:numFmt w:val="decimal"/>
      <w:lvlText w:val="%1."/>
      <w:lvlJc w:val="left"/>
      <w:pPr>
        <w:ind w:left="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66D7155B"/>
    <w:multiLevelType w:val="multilevel"/>
    <w:tmpl w:val="E7E4CE56"/>
    <w:lvl w:ilvl="0">
      <w:start w:val="1"/>
      <w:numFmt w:val="bullet"/>
      <w:lvlText w:val="○"/>
      <w:lvlJc w:val="left"/>
      <w:pPr>
        <w:ind w:left="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6D6B75B1"/>
    <w:multiLevelType w:val="multilevel"/>
    <w:tmpl w:val="9498085C"/>
    <w:lvl w:ilvl="0">
      <w:start w:val="1"/>
      <w:numFmt w:val="bullet"/>
      <w:lvlText w:val="○"/>
      <w:lvlJc w:val="left"/>
      <w:pPr>
        <w:ind w:left="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AC82360"/>
    <w:multiLevelType w:val="multilevel"/>
    <w:tmpl w:val="ABFA3288"/>
    <w:lvl w:ilvl="0">
      <w:start w:val="1"/>
      <w:numFmt w:val="bullet"/>
      <w:lvlText w:val="○"/>
      <w:lvlJc w:val="left"/>
      <w:pPr>
        <w:ind w:left="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707527653">
    <w:abstractNumId w:val="6"/>
  </w:num>
  <w:num w:numId="2" w16cid:durableId="1849713736">
    <w:abstractNumId w:val="7"/>
  </w:num>
  <w:num w:numId="3" w16cid:durableId="958148580">
    <w:abstractNumId w:val="0"/>
  </w:num>
  <w:num w:numId="4" w16cid:durableId="128859869">
    <w:abstractNumId w:val="2"/>
  </w:num>
  <w:num w:numId="5" w16cid:durableId="987628523">
    <w:abstractNumId w:val="4"/>
  </w:num>
  <w:num w:numId="6" w16cid:durableId="1498572918">
    <w:abstractNumId w:val="5"/>
  </w:num>
  <w:num w:numId="7" w16cid:durableId="1157183430">
    <w:abstractNumId w:val="3"/>
  </w:num>
  <w:num w:numId="8" w16cid:durableId="210772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87"/>
    <w:rsid w:val="000003B3"/>
    <w:rsid w:val="00003A61"/>
    <w:rsid w:val="00005468"/>
    <w:rsid w:val="00006FB5"/>
    <w:rsid w:val="0000732D"/>
    <w:rsid w:val="00007BFD"/>
    <w:rsid w:val="000101D4"/>
    <w:rsid w:val="00010CC6"/>
    <w:rsid w:val="00011C9A"/>
    <w:rsid w:val="00012091"/>
    <w:rsid w:val="0001515B"/>
    <w:rsid w:val="00016F6E"/>
    <w:rsid w:val="00020201"/>
    <w:rsid w:val="000210C2"/>
    <w:rsid w:val="00021FFD"/>
    <w:rsid w:val="0002269D"/>
    <w:rsid w:val="00022E21"/>
    <w:rsid w:val="00023024"/>
    <w:rsid w:val="00023465"/>
    <w:rsid w:val="00023F2D"/>
    <w:rsid w:val="00025D8D"/>
    <w:rsid w:val="00026833"/>
    <w:rsid w:val="0002754D"/>
    <w:rsid w:val="000279AB"/>
    <w:rsid w:val="00030721"/>
    <w:rsid w:val="00030D07"/>
    <w:rsid w:val="00030D39"/>
    <w:rsid w:val="00032D50"/>
    <w:rsid w:val="000337FF"/>
    <w:rsid w:val="00033A59"/>
    <w:rsid w:val="00033F9F"/>
    <w:rsid w:val="00034F92"/>
    <w:rsid w:val="000362C3"/>
    <w:rsid w:val="00040559"/>
    <w:rsid w:val="00042D66"/>
    <w:rsid w:val="00043B67"/>
    <w:rsid w:val="000442E9"/>
    <w:rsid w:val="000445E4"/>
    <w:rsid w:val="00044C34"/>
    <w:rsid w:val="00045C9E"/>
    <w:rsid w:val="00047575"/>
    <w:rsid w:val="0005113F"/>
    <w:rsid w:val="000527C4"/>
    <w:rsid w:val="000530D6"/>
    <w:rsid w:val="00055208"/>
    <w:rsid w:val="00055C60"/>
    <w:rsid w:val="000569D3"/>
    <w:rsid w:val="000644C4"/>
    <w:rsid w:val="00064EE8"/>
    <w:rsid w:val="0006579C"/>
    <w:rsid w:val="00065BD6"/>
    <w:rsid w:val="00066D5C"/>
    <w:rsid w:val="00067991"/>
    <w:rsid w:val="00070CD7"/>
    <w:rsid w:val="00072375"/>
    <w:rsid w:val="0007286C"/>
    <w:rsid w:val="00073408"/>
    <w:rsid w:val="00074800"/>
    <w:rsid w:val="000758F6"/>
    <w:rsid w:val="00075F06"/>
    <w:rsid w:val="0008089B"/>
    <w:rsid w:val="00080C0B"/>
    <w:rsid w:val="0008215B"/>
    <w:rsid w:val="000829D6"/>
    <w:rsid w:val="00083034"/>
    <w:rsid w:val="00083DA7"/>
    <w:rsid w:val="00084A91"/>
    <w:rsid w:val="00085D18"/>
    <w:rsid w:val="00086A15"/>
    <w:rsid w:val="000914BC"/>
    <w:rsid w:val="000917AD"/>
    <w:rsid w:val="00093810"/>
    <w:rsid w:val="00094DC0"/>
    <w:rsid w:val="000966BB"/>
    <w:rsid w:val="000971F3"/>
    <w:rsid w:val="00097315"/>
    <w:rsid w:val="000A0550"/>
    <w:rsid w:val="000A0FB0"/>
    <w:rsid w:val="000A1119"/>
    <w:rsid w:val="000A11A0"/>
    <w:rsid w:val="000A12DA"/>
    <w:rsid w:val="000A1501"/>
    <w:rsid w:val="000A1CCA"/>
    <w:rsid w:val="000A5377"/>
    <w:rsid w:val="000A6C91"/>
    <w:rsid w:val="000B0F88"/>
    <w:rsid w:val="000B143A"/>
    <w:rsid w:val="000B26AC"/>
    <w:rsid w:val="000B5859"/>
    <w:rsid w:val="000B6504"/>
    <w:rsid w:val="000B73B7"/>
    <w:rsid w:val="000B754F"/>
    <w:rsid w:val="000C03C9"/>
    <w:rsid w:val="000C065A"/>
    <w:rsid w:val="000C1909"/>
    <w:rsid w:val="000C281E"/>
    <w:rsid w:val="000C2CD5"/>
    <w:rsid w:val="000C440B"/>
    <w:rsid w:val="000C46FB"/>
    <w:rsid w:val="000C4918"/>
    <w:rsid w:val="000C49B0"/>
    <w:rsid w:val="000C5BFB"/>
    <w:rsid w:val="000C60EC"/>
    <w:rsid w:val="000C6C09"/>
    <w:rsid w:val="000C6D35"/>
    <w:rsid w:val="000C7734"/>
    <w:rsid w:val="000D7257"/>
    <w:rsid w:val="000E09DA"/>
    <w:rsid w:val="000E192B"/>
    <w:rsid w:val="000E2066"/>
    <w:rsid w:val="000E2D74"/>
    <w:rsid w:val="000E3123"/>
    <w:rsid w:val="000E33DC"/>
    <w:rsid w:val="000E44B1"/>
    <w:rsid w:val="000E47F7"/>
    <w:rsid w:val="000E512B"/>
    <w:rsid w:val="000E5482"/>
    <w:rsid w:val="000E6B87"/>
    <w:rsid w:val="000E6C4A"/>
    <w:rsid w:val="000E6DFF"/>
    <w:rsid w:val="000F0F0C"/>
    <w:rsid w:val="000F136E"/>
    <w:rsid w:val="000F2B70"/>
    <w:rsid w:val="000F7B2C"/>
    <w:rsid w:val="000F7E2E"/>
    <w:rsid w:val="001009C8"/>
    <w:rsid w:val="00101B45"/>
    <w:rsid w:val="00105301"/>
    <w:rsid w:val="0010533E"/>
    <w:rsid w:val="00105872"/>
    <w:rsid w:val="00116231"/>
    <w:rsid w:val="00120258"/>
    <w:rsid w:val="00120C4E"/>
    <w:rsid w:val="00121D47"/>
    <w:rsid w:val="00123ACF"/>
    <w:rsid w:val="00125FBC"/>
    <w:rsid w:val="00126469"/>
    <w:rsid w:val="00127CE3"/>
    <w:rsid w:val="00127D50"/>
    <w:rsid w:val="00130A88"/>
    <w:rsid w:val="00130AF6"/>
    <w:rsid w:val="001323E1"/>
    <w:rsid w:val="001325F9"/>
    <w:rsid w:val="001369DD"/>
    <w:rsid w:val="00136B9E"/>
    <w:rsid w:val="00136F45"/>
    <w:rsid w:val="0014014E"/>
    <w:rsid w:val="001408F1"/>
    <w:rsid w:val="0014090D"/>
    <w:rsid w:val="0014133D"/>
    <w:rsid w:val="00142F9F"/>
    <w:rsid w:val="00144A0F"/>
    <w:rsid w:val="00145CE0"/>
    <w:rsid w:val="00146FA5"/>
    <w:rsid w:val="0014786A"/>
    <w:rsid w:val="00147D27"/>
    <w:rsid w:val="0015004B"/>
    <w:rsid w:val="00151B57"/>
    <w:rsid w:val="00151C91"/>
    <w:rsid w:val="00152740"/>
    <w:rsid w:val="00153248"/>
    <w:rsid w:val="00155A2E"/>
    <w:rsid w:val="001612F6"/>
    <w:rsid w:val="001614AE"/>
    <w:rsid w:val="00161972"/>
    <w:rsid w:val="00161C0E"/>
    <w:rsid w:val="0016369D"/>
    <w:rsid w:val="00165407"/>
    <w:rsid w:val="001666F2"/>
    <w:rsid w:val="0016689E"/>
    <w:rsid w:val="00170762"/>
    <w:rsid w:val="00170982"/>
    <w:rsid w:val="00170FEC"/>
    <w:rsid w:val="00171198"/>
    <w:rsid w:val="00172DD4"/>
    <w:rsid w:val="00173127"/>
    <w:rsid w:val="00174E3E"/>
    <w:rsid w:val="00175205"/>
    <w:rsid w:val="00176621"/>
    <w:rsid w:val="00177E2D"/>
    <w:rsid w:val="0018025D"/>
    <w:rsid w:val="0018084D"/>
    <w:rsid w:val="00181980"/>
    <w:rsid w:val="001827A0"/>
    <w:rsid w:val="0018333D"/>
    <w:rsid w:val="001841DE"/>
    <w:rsid w:val="00184828"/>
    <w:rsid w:val="001854A8"/>
    <w:rsid w:val="001860E7"/>
    <w:rsid w:val="0018775D"/>
    <w:rsid w:val="0018777D"/>
    <w:rsid w:val="00187D47"/>
    <w:rsid w:val="001900BE"/>
    <w:rsid w:val="001907AA"/>
    <w:rsid w:val="00192149"/>
    <w:rsid w:val="00193638"/>
    <w:rsid w:val="00193A80"/>
    <w:rsid w:val="001954AF"/>
    <w:rsid w:val="00195C32"/>
    <w:rsid w:val="00196AC2"/>
    <w:rsid w:val="00196DC6"/>
    <w:rsid w:val="001977E7"/>
    <w:rsid w:val="001A1351"/>
    <w:rsid w:val="001B0B4D"/>
    <w:rsid w:val="001B2C92"/>
    <w:rsid w:val="001B3312"/>
    <w:rsid w:val="001B3D67"/>
    <w:rsid w:val="001B4ED9"/>
    <w:rsid w:val="001B5348"/>
    <w:rsid w:val="001B7F74"/>
    <w:rsid w:val="001C1139"/>
    <w:rsid w:val="001C147D"/>
    <w:rsid w:val="001C3846"/>
    <w:rsid w:val="001C47F2"/>
    <w:rsid w:val="001C5364"/>
    <w:rsid w:val="001C54A3"/>
    <w:rsid w:val="001D0E7A"/>
    <w:rsid w:val="001D2ECC"/>
    <w:rsid w:val="001D356C"/>
    <w:rsid w:val="001D359B"/>
    <w:rsid w:val="001D4847"/>
    <w:rsid w:val="001D53B9"/>
    <w:rsid w:val="001E0EE4"/>
    <w:rsid w:val="001E1298"/>
    <w:rsid w:val="001E22E3"/>
    <w:rsid w:val="001E3D9A"/>
    <w:rsid w:val="001E428A"/>
    <w:rsid w:val="001E48F4"/>
    <w:rsid w:val="001E509A"/>
    <w:rsid w:val="001E5417"/>
    <w:rsid w:val="001E56CD"/>
    <w:rsid w:val="001E6669"/>
    <w:rsid w:val="001E70CD"/>
    <w:rsid w:val="001E740A"/>
    <w:rsid w:val="001F0008"/>
    <w:rsid w:val="001F01E0"/>
    <w:rsid w:val="001F1F0F"/>
    <w:rsid w:val="001F2308"/>
    <w:rsid w:val="001F2C5B"/>
    <w:rsid w:val="001F49AB"/>
    <w:rsid w:val="001F6EE5"/>
    <w:rsid w:val="0020069E"/>
    <w:rsid w:val="002023AE"/>
    <w:rsid w:val="002034AE"/>
    <w:rsid w:val="0020361D"/>
    <w:rsid w:val="0020520A"/>
    <w:rsid w:val="002057BF"/>
    <w:rsid w:val="002057CF"/>
    <w:rsid w:val="00205872"/>
    <w:rsid w:val="00206406"/>
    <w:rsid w:val="002065AF"/>
    <w:rsid w:val="00206974"/>
    <w:rsid w:val="0020707D"/>
    <w:rsid w:val="00207B0E"/>
    <w:rsid w:val="00211E26"/>
    <w:rsid w:val="00211EFE"/>
    <w:rsid w:val="00212EE2"/>
    <w:rsid w:val="002147B7"/>
    <w:rsid w:val="00214DAF"/>
    <w:rsid w:val="002152F1"/>
    <w:rsid w:val="002155FF"/>
    <w:rsid w:val="0021695D"/>
    <w:rsid w:val="002210F0"/>
    <w:rsid w:val="0022239A"/>
    <w:rsid w:val="0022299A"/>
    <w:rsid w:val="00222F7E"/>
    <w:rsid w:val="00230C47"/>
    <w:rsid w:val="00233B02"/>
    <w:rsid w:val="00233B7E"/>
    <w:rsid w:val="002349E3"/>
    <w:rsid w:val="00235839"/>
    <w:rsid w:val="00237540"/>
    <w:rsid w:val="0023795F"/>
    <w:rsid w:val="00242553"/>
    <w:rsid w:val="002436EC"/>
    <w:rsid w:val="00244491"/>
    <w:rsid w:val="002444A5"/>
    <w:rsid w:val="00244D66"/>
    <w:rsid w:val="00245530"/>
    <w:rsid w:val="002460AB"/>
    <w:rsid w:val="002461F2"/>
    <w:rsid w:val="00246401"/>
    <w:rsid w:val="00246639"/>
    <w:rsid w:val="00247F1C"/>
    <w:rsid w:val="00247F6A"/>
    <w:rsid w:val="00252527"/>
    <w:rsid w:val="00252E5A"/>
    <w:rsid w:val="00252FCD"/>
    <w:rsid w:val="00255A49"/>
    <w:rsid w:val="00255D89"/>
    <w:rsid w:val="002608F3"/>
    <w:rsid w:val="00261033"/>
    <w:rsid w:val="00261586"/>
    <w:rsid w:val="00261646"/>
    <w:rsid w:val="002634E5"/>
    <w:rsid w:val="00263B7D"/>
    <w:rsid w:val="00264649"/>
    <w:rsid w:val="002655A1"/>
    <w:rsid w:val="0026770F"/>
    <w:rsid w:val="00267E6E"/>
    <w:rsid w:val="0027093A"/>
    <w:rsid w:val="00270A11"/>
    <w:rsid w:val="00270B2E"/>
    <w:rsid w:val="00270B95"/>
    <w:rsid w:val="00270EA9"/>
    <w:rsid w:val="00272820"/>
    <w:rsid w:val="0027557D"/>
    <w:rsid w:val="002758E5"/>
    <w:rsid w:val="002775A9"/>
    <w:rsid w:val="00281E37"/>
    <w:rsid w:val="00282F25"/>
    <w:rsid w:val="0028383B"/>
    <w:rsid w:val="00284872"/>
    <w:rsid w:val="00285219"/>
    <w:rsid w:val="002857AC"/>
    <w:rsid w:val="00285A2A"/>
    <w:rsid w:val="00286E46"/>
    <w:rsid w:val="00287412"/>
    <w:rsid w:val="002903C2"/>
    <w:rsid w:val="0029098A"/>
    <w:rsid w:val="002925AE"/>
    <w:rsid w:val="00293C41"/>
    <w:rsid w:val="00293F2D"/>
    <w:rsid w:val="00294D69"/>
    <w:rsid w:val="00294EC8"/>
    <w:rsid w:val="00296F37"/>
    <w:rsid w:val="00297276"/>
    <w:rsid w:val="00297941"/>
    <w:rsid w:val="00297ADE"/>
    <w:rsid w:val="00297E6E"/>
    <w:rsid w:val="002A07F5"/>
    <w:rsid w:val="002A1FCE"/>
    <w:rsid w:val="002A3E4D"/>
    <w:rsid w:val="002A3F0F"/>
    <w:rsid w:val="002A5AAF"/>
    <w:rsid w:val="002A5B62"/>
    <w:rsid w:val="002A5E65"/>
    <w:rsid w:val="002A6161"/>
    <w:rsid w:val="002A7A0C"/>
    <w:rsid w:val="002A7FD7"/>
    <w:rsid w:val="002B038B"/>
    <w:rsid w:val="002B367F"/>
    <w:rsid w:val="002B4113"/>
    <w:rsid w:val="002B48C4"/>
    <w:rsid w:val="002B61D2"/>
    <w:rsid w:val="002B7D33"/>
    <w:rsid w:val="002C1616"/>
    <w:rsid w:val="002C24D9"/>
    <w:rsid w:val="002C2790"/>
    <w:rsid w:val="002C2E0D"/>
    <w:rsid w:val="002C375C"/>
    <w:rsid w:val="002C5BC2"/>
    <w:rsid w:val="002C79E9"/>
    <w:rsid w:val="002D1B6A"/>
    <w:rsid w:val="002D1DF6"/>
    <w:rsid w:val="002D2A84"/>
    <w:rsid w:val="002D3C74"/>
    <w:rsid w:val="002D529D"/>
    <w:rsid w:val="002D5C14"/>
    <w:rsid w:val="002D666B"/>
    <w:rsid w:val="002D7DD9"/>
    <w:rsid w:val="002E18B1"/>
    <w:rsid w:val="002E28DA"/>
    <w:rsid w:val="002E2A0B"/>
    <w:rsid w:val="002E39A0"/>
    <w:rsid w:val="002E4390"/>
    <w:rsid w:val="002E474B"/>
    <w:rsid w:val="002E51A8"/>
    <w:rsid w:val="002E58C7"/>
    <w:rsid w:val="002E65FB"/>
    <w:rsid w:val="002E6774"/>
    <w:rsid w:val="002F1893"/>
    <w:rsid w:val="002F1FD5"/>
    <w:rsid w:val="002F27FE"/>
    <w:rsid w:val="002F3B9C"/>
    <w:rsid w:val="002F431C"/>
    <w:rsid w:val="002F5039"/>
    <w:rsid w:val="00300338"/>
    <w:rsid w:val="0030093E"/>
    <w:rsid w:val="00301173"/>
    <w:rsid w:val="00301BD7"/>
    <w:rsid w:val="00301F71"/>
    <w:rsid w:val="0030504C"/>
    <w:rsid w:val="003052B1"/>
    <w:rsid w:val="00305723"/>
    <w:rsid w:val="0030666D"/>
    <w:rsid w:val="00306D45"/>
    <w:rsid w:val="00307F6B"/>
    <w:rsid w:val="00311588"/>
    <w:rsid w:val="00312B19"/>
    <w:rsid w:val="003137BC"/>
    <w:rsid w:val="00314A67"/>
    <w:rsid w:val="003166D1"/>
    <w:rsid w:val="003177A0"/>
    <w:rsid w:val="00320005"/>
    <w:rsid w:val="003206DC"/>
    <w:rsid w:val="00323672"/>
    <w:rsid w:val="00324A31"/>
    <w:rsid w:val="00324E0C"/>
    <w:rsid w:val="00325D70"/>
    <w:rsid w:val="00325DE6"/>
    <w:rsid w:val="003279A4"/>
    <w:rsid w:val="00330227"/>
    <w:rsid w:val="003302DA"/>
    <w:rsid w:val="00331153"/>
    <w:rsid w:val="00332DC0"/>
    <w:rsid w:val="00333B5A"/>
    <w:rsid w:val="00333D53"/>
    <w:rsid w:val="00335406"/>
    <w:rsid w:val="003360AC"/>
    <w:rsid w:val="0033708D"/>
    <w:rsid w:val="00337F3E"/>
    <w:rsid w:val="0034024A"/>
    <w:rsid w:val="00340F32"/>
    <w:rsid w:val="00341572"/>
    <w:rsid w:val="00342070"/>
    <w:rsid w:val="0034228D"/>
    <w:rsid w:val="003429D0"/>
    <w:rsid w:val="00343D43"/>
    <w:rsid w:val="00343E51"/>
    <w:rsid w:val="00346087"/>
    <w:rsid w:val="00346925"/>
    <w:rsid w:val="00350089"/>
    <w:rsid w:val="003501B3"/>
    <w:rsid w:val="003510EE"/>
    <w:rsid w:val="00352D0C"/>
    <w:rsid w:val="0035522B"/>
    <w:rsid w:val="0035540A"/>
    <w:rsid w:val="00356142"/>
    <w:rsid w:val="003564A2"/>
    <w:rsid w:val="0035717D"/>
    <w:rsid w:val="003573F3"/>
    <w:rsid w:val="0036047C"/>
    <w:rsid w:val="00361F29"/>
    <w:rsid w:val="003633AE"/>
    <w:rsid w:val="00364916"/>
    <w:rsid w:val="003650FA"/>
    <w:rsid w:val="003669E9"/>
    <w:rsid w:val="00370582"/>
    <w:rsid w:val="00373142"/>
    <w:rsid w:val="00373D4D"/>
    <w:rsid w:val="00374614"/>
    <w:rsid w:val="00376102"/>
    <w:rsid w:val="00376277"/>
    <w:rsid w:val="0037715D"/>
    <w:rsid w:val="00381F54"/>
    <w:rsid w:val="00382579"/>
    <w:rsid w:val="00383443"/>
    <w:rsid w:val="00383BF6"/>
    <w:rsid w:val="00384473"/>
    <w:rsid w:val="00385E53"/>
    <w:rsid w:val="003861F1"/>
    <w:rsid w:val="0038688D"/>
    <w:rsid w:val="00392180"/>
    <w:rsid w:val="00392E5B"/>
    <w:rsid w:val="00392E61"/>
    <w:rsid w:val="003937D1"/>
    <w:rsid w:val="003942C0"/>
    <w:rsid w:val="00395389"/>
    <w:rsid w:val="00396E72"/>
    <w:rsid w:val="00397544"/>
    <w:rsid w:val="003976F9"/>
    <w:rsid w:val="003A06F1"/>
    <w:rsid w:val="003A179B"/>
    <w:rsid w:val="003A1D39"/>
    <w:rsid w:val="003A1E28"/>
    <w:rsid w:val="003A5080"/>
    <w:rsid w:val="003A5448"/>
    <w:rsid w:val="003A55E0"/>
    <w:rsid w:val="003A695C"/>
    <w:rsid w:val="003A6B71"/>
    <w:rsid w:val="003A776B"/>
    <w:rsid w:val="003A78A7"/>
    <w:rsid w:val="003B0A6D"/>
    <w:rsid w:val="003B1FD9"/>
    <w:rsid w:val="003B266C"/>
    <w:rsid w:val="003B31D3"/>
    <w:rsid w:val="003B32B2"/>
    <w:rsid w:val="003B3A25"/>
    <w:rsid w:val="003B3E0C"/>
    <w:rsid w:val="003B4025"/>
    <w:rsid w:val="003B4B1D"/>
    <w:rsid w:val="003B536B"/>
    <w:rsid w:val="003B60DE"/>
    <w:rsid w:val="003B642D"/>
    <w:rsid w:val="003C0C91"/>
    <w:rsid w:val="003C1A06"/>
    <w:rsid w:val="003C545D"/>
    <w:rsid w:val="003C550A"/>
    <w:rsid w:val="003C5C40"/>
    <w:rsid w:val="003C5D1B"/>
    <w:rsid w:val="003C5EAC"/>
    <w:rsid w:val="003C699F"/>
    <w:rsid w:val="003C75F6"/>
    <w:rsid w:val="003D2272"/>
    <w:rsid w:val="003D26AD"/>
    <w:rsid w:val="003D29D8"/>
    <w:rsid w:val="003D2C95"/>
    <w:rsid w:val="003D4365"/>
    <w:rsid w:val="003D54AB"/>
    <w:rsid w:val="003D5DDC"/>
    <w:rsid w:val="003D6957"/>
    <w:rsid w:val="003D6CE0"/>
    <w:rsid w:val="003D6FE2"/>
    <w:rsid w:val="003E2014"/>
    <w:rsid w:val="003E3A79"/>
    <w:rsid w:val="003E42D6"/>
    <w:rsid w:val="003E79FA"/>
    <w:rsid w:val="003E7A76"/>
    <w:rsid w:val="003F0486"/>
    <w:rsid w:val="003F1717"/>
    <w:rsid w:val="003F1A2E"/>
    <w:rsid w:val="003F438B"/>
    <w:rsid w:val="003F459D"/>
    <w:rsid w:val="003F50A4"/>
    <w:rsid w:val="003F5AF3"/>
    <w:rsid w:val="003F6B5A"/>
    <w:rsid w:val="003F7DDA"/>
    <w:rsid w:val="00400999"/>
    <w:rsid w:val="004036FC"/>
    <w:rsid w:val="00406C59"/>
    <w:rsid w:val="00407065"/>
    <w:rsid w:val="00410405"/>
    <w:rsid w:val="0041041B"/>
    <w:rsid w:val="00410C65"/>
    <w:rsid w:val="00411598"/>
    <w:rsid w:val="00411AB4"/>
    <w:rsid w:val="00412456"/>
    <w:rsid w:val="004126CB"/>
    <w:rsid w:val="00415720"/>
    <w:rsid w:val="00421A4F"/>
    <w:rsid w:val="00421EAC"/>
    <w:rsid w:val="00423601"/>
    <w:rsid w:val="004238C1"/>
    <w:rsid w:val="0042574C"/>
    <w:rsid w:val="00426294"/>
    <w:rsid w:val="004263E3"/>
    <w:rsid w:val="00426A4F"/>
    <w:rsid w:val="004271E4"/>
    <w:rsid w:val="00427A06"/>
    <w:rsid w:val="004312C9"/>
    <w:rsid w:val="00431FFE"/>
    <w:rsid w:val="004326ED"/>
    <w:rsid w:val="00433A8C"/>
    <w:rsid w:val="004344DB"/>
    <w:rsid w:val="00434961"/>
    <w:rsid w:val="00434E60"/>
    <w:rsid w:val="00436C5F"/>
    <w:rsid w:val="0043732F"/>
    <w:rsid w:val="004400A5"/>
    <w:rsid w:val="00441C57"/>
    <w:rsid w:val="00443079"/>
    <w:rsid w:val="00446CD8"/>
    <w:rsid w:val="00446E24"/>
    <w:rsid w:val="00446E42"/>
    <w:rsid w:val="0044700D"/>
    <w:rsid w:val="0044765D"/>
    <w:rsid w:val="00447B21"/>
    <w:rsid w:val="004511C6"/>
    <w:rsid w:val="004512F2"/>
    <w:rsid w:val="00451603"/>
    <w:rsid w:val="00451A36"/>
    <w:rsid w:val="0045207B"/>
    <w:rsid w:val="00452F7A"/>
    <w:rsid w:val="00453FC8"/>
    <w:rsid w:val="00454493"/>
    <w:rsid w:val="00456114"/>
    <w:rsid w:val="00457776"/>
    <w:rsid w:val="004617BA"/>
    <w:rsid w:val="00462422"/>
    <w:rsid w:val="00463662"/>
    <w:rsid w:val="004638A2"/>
    <w:rsid w:val="0046426F"/>
    <w:rsid w:val="00465728"/>
    <w:rsid w:val="004661AA"/>
    <w:rsid w:val="004662C4"/>
    <w:rsid w:val="00466BE8"/>
    <w:rsid w:val="00470337"/>
    <w:rsid w:val="004727FA"/>
    <w:rsid w:val="00472D92"/>
    <w:rsid w:val="00475C80"/>
    <w:rsid w:val="00477573"/>
    <w:rsid w:val="004801B7"/>
    <w:rsid w:val="00481D0D"/>
    <w:rsid w:val="00483C48"/>
    <w:rsid w:val="00483CDD"/>
    <w:rsid w:val="00485384"/>
    <w:rsid w:val="004855E8"/>
    <w:rsid w:val="00485E46"/>
    <w:rsid w:val="004870C2"/>
    <w:rsid w:val="00491E51"/>
    <w:rsid w:val="004937CE"/>
    <w:rsid w:val="0049406E"/>
    <w:rsid w:val="00494A4F"/>
    <w:rsid w:val="004954C2"/>
    <w:rsid w:val="00497B32"/>
    <w:rsid w:val="00497EC4"/>
    <w:rsid w:val="004A1752"/>
    <w:rsid w:val="004A1BA2"/>
    <w:rsid w:val="004A1C55"/>
    <w:rsid w:val="004A4B8D"/>
    <w:rsid w:val="004A5D53"/>
    <w:rsid w:val="004A617D"/>
    <w:rsid w:val="004A6443"/>
    <w:rsid w:val="004B1F1E"/>
    <w:rsid w:val="004B32EC"/>
    <w:rsid w:val="004B4852"/>
    <w:rsid w:val="004B567E"/>
    <w:rsid w:val="004B64AF"/>
    <w:rsid w:val="004C0540"/>
    <w:rsid w:val="004C32CF"/>
    <w:rsid w:val="004C416E"/>
    <w:rsid w:val="004C4305"/>
    <w:rsid w:val="004C53B1"/>
    <w:rsid w:val="004C752C"/>
    <w:rsid w:val="004D050A"/>
    <w:rsid w:val="004D0BB7"/>
    <w:rsid w:val="004D2919"/>
    <w:rsid w:val="004D2EA3"/>
    <w:rsid w:val="004D3199"/>
    <w:rsid w:val="004D39DD"/>
    <w:rsid w:val="004D4652"/>
    <w:rsid w:val="004D6791"/>
    <w:rsid w:val="004D693B"/>
    <w:rsid w:val="004D69ED"/>
    <w:rsid w:val="004D747A"/>
    <w:rsid w:val="004D7B8E"/>
    <w:rsid w:val="004E0057"/>
    <w:rsid w:val="004E0F8F"/>
    <w:rsid w:val="004E1032"/>
    <w:rsid w:val="004E2B2E"/>
    <w:rsid w:val="004E3ECC"/>
    <w:rsid w:val="004E470F"/>
    <w:rsid w:val="004E4B76"/>
    <w:rsid w:val="004E75A3"/>
    <w:rsid w:val="004E7F85"/>
    <w:rsid w:val="004F19E8"/>
    <w:rsid w:val="004F2630"/>
    <w:rsid w:val="004F30F1"/>
    <w:rsid w:val="004F318F"/>
    <w:rsid w:val="004F320A"/>
    <w:rsid w:val="004F3541"/>
    <w:rsid w:val="004F3E95"/>
    <w:rsid w:val="004F4B1B"/>
    <w:rsid w:val="004F57BC"/>
    <w:rsid w:val="004F6620"/>
    <w:rsid w:val="004F6B7A"/>
    <w:rsid w:val="004F726A"/>
    <w:rsid w:val="004F76C1"/>
    <w:rsid w:val="00500C05"/>
    <w:rsid w:val="00501473"/>
    <w:rsid w:val="00501724"/>
    <w:rsid w:val="00503B95"/>
    <w:rsid w:val="00504B86"/>
    <w:rsid w:val="00504F9E"/>
    <w:rsid w:val="00505E4B"/>
    <w:rsid w:val="00506317"/>
    <w:rsid w:val="00507B40"/>
    <w:rsid w:val="00512BA7"/>
    <w:rsid w:val="00516149"/>
    <w:rsid w:val="005204B2"/>
    <w:rsid w:val="005204C4"/>
    <w:rsid w:val="005208E5"/>
    <w:rsid w:val="005246FF"/>
    <w:rsid w:val="00530862"/>
    <w:rsid w:val="00530D99"/>
    <w:rsid w:val="005316F4"/>
    <w:rsid w:val="00533FCA"/>
    <w:rsid w:val="0053447F"/>
    <w:rsid w:val="00535F74"/>
    <w:rsid w:val="005365D2"/>
    <w:rsid w:val="005404E0"/>
    <w:rsid w:val="00540562"/>
    <w:rsid w:val="00542185"/>
    <w:rsid w:val="0054260F"/>
    <w:rsid w:val="005433BE"/>
    <w:rsid w:val="005445AD"/>
    <w:rsid w:val="00544BF9"/>
    <w:rsid w:val="00545683"/>
    <w:rsid w:val="00546102"/>
    <w:rsid w:val="00546A8F"/>
    <w:rsid w:val="00552681"/>
    <w:rsid w:val="00552A1B"/>
    <w:rsid w:val="00554B30"/>
    <w:rsid w:val="0055576D"/>
    <w:rsid w:val="00556620"/>
    <w:rsid w:val="0055665F"/>
    <w:rsid w:val="00561539"/>
    <w:rsid w:val="0056560A"/>
    <w:rsid w:val="00565A67"/>
    <w:rsid w:val="00566CE3"/>
    <w:rsid w:val="00566EBE"/>
    <w:rsid w:val="005703AD"/>
    <w:rsid w:val="00570A7C"/>
    <w:rsid w:val="00571C6B"/>
    <w:rsid w:val="005723D5"/>
    <w:rsid w:val="00576326"/>
    <w:rsid w:val="00576FBB"/>
    <w:rsid w:val="0058165F"/>
    <w:rsid w:val="00581D42"/>
    <w:rsid w:val="00582045"/>
    <w:rsid w:val="00582B4A"/>
    <w:rsid w:val="00582F29"/>
    <w:rsid w:val="00583E6D"/>
    <w:rsid w:val="00584D9C"/>
    <w:rsid w:val="005855FD"/>
    <w:rsid w:val="00586953"/>
    <w:rsid w:val="005874AA"/>
    <w:rsid w:val="0058796D"/>
    <w:rsid w:val="0059097A"/>
    <w:rsid w:val="00591BAC"/>
    <w:rsid w:val="005953DA"/>
    <w:rsid w:val="00597237"/>
    <w:rsid w:val="00597914"/>
    <w:rsid w:val="00597E31"/>
    <w:rsid w:val="005A0562"/>
    <w:rsid w:val="005A0927"/>
    <w:rsid w:val="005A3C36"/>
    <w:rsid w:val="005A3FB9"/>
    <w:rsid w:val="005A7CEC"/>
    <w:rsid w:val="005B1120"/>
    <w:rsid w:val="005B3648"/>
    <w:rsid w:val="005B390A"/>
    <w:rsid w:val="005B3C36"/>
    <w:rsid w:val="005B464D"/>
    <w:rsid w:val="005B4F4E"/>
    <w:rsid w:val="005B6744"/>
    <w:rsid w:val="005B6A07"/>
    <w:rsid w:val="005B6CF4"/>
    <w:rsid w:val="005C1595"/>
    <w:rsid w:val="005C1E31"/>
    <w:rsid w:val="005C3AED"/>
    <w:rsid w:val="005C6CB1"/>
    <w:rsid w:val="005C737E"/>
    <w:rsid w:val="005D0351"/>
    <w:rsid w:val="005D0363"/>
    <w:rsid w:val="005D235C"/>
    <w:rsid w:val="005D4037"/>
    <w:rsid w:val="005E0346"/>
    <w:rsid w:val="005E145B"/>
    <w:rsid w:val="005E213D"/>
    <w:rsid w:val="005E291B"/>
    <w:rsid w:val="005E4AC8"/>
    <w:rsid w:val="005E53A3"/>
    <w:rsid w:val="005E5B43"/>
    <w:rsid w:val="005E5DD8"/>
    <w:rsid w:val="005E5F64"/>
    <w:rsid w:val="005E6C18"/>
    <w:rsid w:val="005E74ED"/>
    <w:rsid w:val="005E7805"/>
    <w:rsid w:val="005E7C18"/>
    <w:rsid w:val="005F00F8"/>
    <w:rsid w:val="005F06AA"/>
    <w:rsid w:val="005F20D6"/>
    <w:rsid w:val="005F38B9"/>
    <w:rsid w:val="005F3974"/>
    <w:rsid w:val="005F4D8C"/>
    <w:rsid w:val="005F5431"/>
    <w:rsid w:val="005F6713"/>
    <w:rsid w:val="005F675C"/>
    <w:rsid w:val="00605A75"/>
    <w:rsid w:val="0060768A"/>
    <w:rsid w:val="006104C1"/>
    <w:rsid w:val="00610697"/>
    <w:rsid w:val="00610B8B"/>
    <w:rsid w:val="00611425"/>
    <w:rsid w:val="0061169B"/>
    <w:rsid w:val="00612C2E"/>
    <w:rsid w:val="0061486E"/>
    <w:rsid w:val="006165E1"/>
    <w:rsid w:val="00617FDC"/>
    <w:rsid w:val="006212FA"/>
    <w:rsid w:val="00621430"/>
    <w:rsid w:val="00621FE3"/>
    <w:rsid w:val="006228CB"/>
    <w:rsid w:val="00622B0E"/>
    <w:rsid w:val="006256FB"/>
    <w:rsid w:val="00625AA0"/>
    <w:rsid w:val="00625C4F"/>
    <w:rsid w:val="00630754"/>
    <w:rsid w:val="00635FBA"/>
    <w:rsid w:val="00640596"/>
    <w:rsid w:val="0064294B"/>
    <w:rsid w:val="006437A6"/>
    <w:rsid w:val="006444E2"/>
    <w:rsid w:val="00644EDB"/>
    <w:rsid w:val="006475F1"/>
    <w:rsid w:val="00656645"/>
    <w:rsid w:val="00661A9E"/>
    <w:rsid w:val="00661C3C"/>
    <w:rsid w:val="00661FAE"/>
    <w:rsid w:val="0066244D"/>
    <w:rsid w:val="0066430A"/>
    <w:rsid w:val="0066442E"/>
    <w:rsid w:val="00667453"/>
    <w:rsid w:val="006679E3"/>
    <w:rsid w:val="00667C44"/>
    <w:rsid w:val="006706ED"/>
    <w:rsid w:val="006730F2"/>
    <w:rsid w:val="006732F3"/>
    <w:rsid w:val="006735B5"/>
    <w:rsid w:val="0067450D"/>
    <w:rsid w:val="00677AE3"/>
    <w:rsid w:val="00681FAE"/>
    <w:rsid w:val="00682274"/>
    <w:rsid w:val="00682966"/>
    <w:rsid w:val="0068315E"/>
    <w:rsid w:val="006842AB"/>
    <w:rsid w:val="00684C76"/>
    <w:rsid w:val="0068729F"/>
    <w:rsid w:val="0069048D"/>
    <w:rsid w:val="00691124"/>
    <w:rsid w:val="00691D3A"/>
    <w:rsid w:val="006926F2"/>
    <w:rsid w:val="00692765"/>
    <w:rsid w:val="006941D9"/>
    <w:rsid w:val="006948A4"/>
    <w:rsid w:val="00695457"/>
    <w:rsid w:val="00695469"/>
    <w:rsid w:val="00696277"/>
    <w:rsid w:val="00696563"/>
    <w:rsid w:val="006A0394"/>
    <w:rsid w:val="006A1CC9"/>
    <w:rsid w:val="006A2078"/>
    <w:rsid w:val="006A2F00"/>
    <w:rsid w:val="006A3778"/>
    <w:rsid w:val="006A4701"/>
    <w:rsid w:val="006A4AFE"/>
    <w:rsid w:val="006A6B17"/>
    <w:rsid w:val="006A74CB"/>
    <w:rsid w:val="006A76BE"/>
    <w:rsid w:val="006A7ACD"/>
    <w:rsid w:val="006A7AE4"/>
    <w:rsid w:val="006B00A1"/>
    <w:rsid w:val="006B52E2"/>
    <w:rsid w:val="006B63AC"/>
    <w:rsid w:val="006B7914"/>
    <w:rsid w:val="006C354D"/>
    <w:rsid w:val="006C4DAF"/>
    <w:rsid w:val="006C588C"/>
    <w:rsid w:val="006C5C29"/>
    <w:rsid w:val="006C79D9"/>
    <w:rsid w:val="006C7DCF"/>
    <w:rsid w:val="006D074A"/>
    <w:rsid w:val="006D176B"/>
    <w:rsid w:val="006D2000"/>
    <w:rsid w:val="006D4E5E"/>
    <w:rsid w:val="006D5D01"/>
    <w:rsid w:val="006D7198"/>
    <w:rsid w:val="006D7223"/>
    <w:rsid w:val="006D7E70"/>
    <w:rsid w:val="006E065C"/>
    <w:rsid w:val="006E09E9"/>
    <w:rsid w:val="006E0BF1"/>
    <w:rsid w:val="006E1FA2"/>
    <w:rsid w:val="006E3CB4"/>
    <w:rsid w:val="006E3D3D"/>
    <w:rsid w:val="006E3F15"/>
    <w:rsid w:val="006E526A"/>
    <w:rsid w:val="006E5491"/>
    <w:rsid w:val="006E55A7"/>
    <w:rsid w:val="006E7484"/>
    <w:rsid w:val="006F0478"/>
    <w:rsid w:val="006F10B1"/>
    <w:rsid w:val="006F1494"/>
    <w:rsid w:val="006F1A54"/>
    <w:rsid w:val="006F5251"/>
    <w:rsid w:val="006F563D"/>
    <w:rsid w:val="007009C8"/>
    <w:rsid w:val="00702D0B"/>
    <w:rsid w:val="00704B9B"/>
    <w:rsid w:val="00705933"/>
    <w:rsid w:val="007069F0"/>
    <w:rsid w:val="00706C18"/>
    <w:rsid w:val="00707BC8"/>
    <w:rsid w:val="00710276"/>
    <w:rsid w:val="00710A60"/>
    <w:rsid w:val="0071106C"/>
    <w:rsid w:val="0071133C"/>
    <w:rsid w:val="00711942"/>
    <w:rsid w:val="00713BA6"/>
    <w:rsid w:val="007143DE"/>
    <w:rsid w:val="00716152"/>
    <w:rsid w:val="00716194"/>
    <w:rsid w:val="007201F1"/>
    <w:rsid w:val="00720745"/>
    <w:rsid w:val="00721A0D"/>
    <w:rsid w:val="00721A61"/>
    <w:rsid w:val="00722E2F"/>
    <w:rsid w:val="007245CA"/>
    <w:rsid w:val="00724ADF"/>
    <w:rsid w:val="00725208"/>
    <w:rsid w:val="00725868"/>
    <w:rsid w:val="00726E58"/>
    <w:rsid w:val="0072783D"/>
    <w:rsid w:val="00731219"/>
    <w:rsid w:val="00734B99"/>
    <w:rsid w:val="00734BEA"/>
    <w:rsid w:val="00734DF2"/>
    <w:rsid w:val="00735506"/>
    <w:rsid w:val="007365FF"/>
    <w:rsid w:val="00737377"/>
    <w:rsid w:val="00737AD3"/>
    <w:rsid w:val="0074055D"/>
    <w:rsid w:val="00741422"/>
    <w:rsid w:val="00741733"/>
    <w:rsid w:val="007427F7"/>
    <w:rsid w:val="00743A09"/>
    <w:rsid w:val="00744FB7"/>
    <w:rsid w:val="0075261C"/>
    <w:rsid w:val="00753BFF"/>
    <w:rsid w:val="00754269"/>
    <w:rsid w:val="0075439C"/>
    <w:rsid w:val="00755750"/>
    <w:rsid w:val="00755DED"/>
    <w:rsid w:val="0075658A"/>
    <w:rsid w:val="0076116A"/>
    <w:rsid w:val="007628D7"/>
    <w:rsid w:val="00764AE9"/>
    <w:rsid w:val="00766B39"/>
    <w:rsid w:val="00773BF1"/>
    <w:rsid w:val="007768BC"/>
    <w:rsid w:val="00776B89"/>
    <w:rsid w:val="00777018"/>
    <w:rsid w:val="0077718A"/>
    <w:rsid w:val="007775C3"/>
    <w:rsid w:val="00777B4A"/>
    <w:rsid w:val="0078175B"/>
    <w:rsid w:val="00781B61"/>
    <w:rsid w:val="00781D4F"/>
    <w:rsid w:val="00782D2B"/>
    <w:rsid w:val="00782E0D"/>
    <w:rsid w:val="00784C0B"/>
    <w:rsid w:val="00784F3F"/>
    <w:rsid w:val="00785FED"/>
    <w:rsid w:val="00786412"/>
    <w:rsid w:val="007868CB"/>
    <w:rsid w:val="00790194"/>
    <w:rsid w:val="0079252E"/>
    <w:rsid w:val="00792AD3"/>
    <w:rsid w:val="007942B1"/>
    <w:rsid w:val="007956B7"/>
    <w:rsid w:val="00795C28"/>
    <w:rsid w:val="00796390"/>
    <w:rsid w:val="007A0546"/>
    <w:rsid w:val="007A07AD"/>
    <w:rsid w:val="007A0B02"/>
    <w:rsid w:val="007A0C96"/>
    <w:rsid w:val="007A1AD5"/>
    <w:rsid w:val="007A1EC1"/>
    <w:rsid w:val="007A2416"/>
    <w:rsid w:val="007A3572"/>
    <w:rsid w:val="007A5878"/>
    <w:rsid w:val="007A7491"/>
    <w:rsid w:val="007A7947"/>
    <w:rsid w:val="007B07C5"/>
    <w:rsid w:val="007B0CC0"/>
    <w:rsid w:val="007B1648"/>
    <w:rsid w:val="007B1F0C"/>
    <w:rsid w:val="007B3A2D"/>
    <w:rsid w:val="007B57B6"/>
    <w:rsid w:val="007B5C18"/>
    <w:rsid w:val="007B65E5"/>
    <w:rsid w:val="007B7AEA"/>
    <w:rsid w:val="007B7B0F"/>
    <w:rsid w:val="007C1115"/>
    <w:rsid w:val="007C1BED"/>
    <w:rsid w:val="007C2F69"/>
    <w:rsid w:val="007C32B2"/>
    <w:rsid w:val="007C3507"/>
    <w:rsid w:val="007C3EC7"/>
    <w:rsid w:val="007C5982"/>
    <w:rsid w:val="007C640D"/>
    <w:rsid w:val="007D0D2C"/>
    <w:rsid w:val="007D12D4"/>
    <w:rsid w:val="007D262E"/>
    <w:rsid w:val="007D5965"/>
    <w:rsid w:val="007D60EA"/>
    <w:rsid w:val="007E0DF8"/>
    <w:rsid w:val="007E1DF7"/>
    <w:rsid w:val="007E2D73"/>
    <w:rsid w:val="007E36C1"/>
    <w:rsid w:val="007E4393"/>
    <w:rsid w:val="007E487B"/>
    <w:rsid w:val="007E503F"/>
    <w:rsid w:val="007E775F"/>
    <w:rsid w:val="007F079E"/>
    <w:rsid w:val="007F0F25"/>
    <w:rsid w:val="007F1350"/>
    <w:rsid w:val="007F1CE6"/>
    <w:rsid w:val="007F22C8"/>
    <w:rsid w:val="007F231C"/>
    <w:rsid w:val="007F2B2C"/>
    <w:rsid w:val="007F3011"/>
    <w:rsid w:val="007F4CBE"/>
    <w:rsid w:val="007F4F7A"/>
    <w:rsid w:val="007F4FE7"/>
    <w:rsid w:val="007F52C6"/>
    <w:rsid w:val="008005CB"/>
    <w:rsid w:val="00800A36"/>
    <w:rsid w:val="00800D67"/>
    <w:rsid w:val="00800F4E"/>
    <w:rsid w:val="00801ADD"/>
    <w:rsid w:val="00802577"/>
    <w:rsid w:val="00802CC8"/>
    <w:rsid w:val="008055DF"/>
    <w:rsid w:val="008074E4"/>
    <w:rsid w:val="008077E5"/>
    <w:rsid w:val="00807EAB"/>
    <w:rsid w:val="0081164F"/>
    <w:rsid w:val="00811FDD"/>
    <w:rsid w:val="0081324B"/>
    <w:rsid w:val="008162CA"/>
    <w:rsid w:val="00817515"/>
    <w:rsid w:val="008178B1"/>
    <w:rsid w:val="00820D40"/>
    <w:rsid w:val="00821B28"/>
    <w:rsid w:val="00822217"/>
    <w:rsid w:val="00822337"/>
    <w:rsid w:val="00822F64"/>
    <w:rsid w:val="008238F0"/>
    <w:rsid w:val="008242A2"/>
    <w:rsid w:val="00824BEC"/>
    <w:rsid w:val="00825142"/>
    <w:rsid w:val="0082617D"/>
    <w:rsid w:val="00826181"/>
    <w:rsid w:val="00826DC3"/>
    <w:rsid w:val="00830782"/>
    <w:rsid w:val="00830B32"/>
    <w:rsid w:val="00830E6E"/>
    <w:rsid w:val="008316DE"/>
    <w:rsid w:val="008324FA"/>
    <w:rsid w:val="0083263A"/>
    <w:rsid w:val="00832C9F"/>
    <w:rsid w:val="00833A74"/>
    <w:rsid w:val="00834EA4"/>
    <w:rsid w:val="008375BC"/>
    <w:rsid w:val="00841362"/>
    <w:rsid w:val="00841765"/>
    <w:rsid w:val="00841A57"/>
    <w:rsid w:val="00843D67"/>
    <w:rsid w:val="00844512"/>
    <w:rsid w:val="008459B0"/>
    <w:rsid w:val="008463D8"/>
    <w:rsid w:val="008473E1"/>
    <w:rsid w:val="00847D75"/>
    <w:rsid w:val="00847FCE"/>
    <w:rsid w:val="008510D8"/>
    <w:rsid w:val="0085243B"/>
    <w:rsid w:val="00853BB7"/>
    <w:rsid w:val="00854B71"/>
    <w:rsid w:val="008560AC"/>
    <w:rsid w:val="008607E9"/>
    <w:rsid w:val="00860EDF"/>
    <w:rsid w:val="00861047"/>
    <w:rsid w:val="008610D6"/>
    <w:rsid w:val="00865228"/>
    <w:rsid w:val="00866449"/>
    <w:rsid w:val="00866823"/>
    <w:rsid w:val="008672A0"/>
    <w:rsid w:val="00867CA4"/>
    <w:rsid w:val="00870F4B"/>
    <w:rsid w:val="0087191C"/>
    <w:rsid w:val="00875B72"/>
    <w:rsid w:val="00875DBD"/>
    <w:rsid w:val="008772BA"/>
    <w:rsid w:val="008776D4"/>
    <w:rsid w:val="008817AB"/>
    <w:rsid w:val="00881B0E"/>
    <w:rsid w:val="0088273A"/>
    <w:rsid w:val="00882F8B"/>
    <w:rsid w:val="008842D3"/>
    <w:rsid w:val="0088619D"/>
    <w:rsid w:val="00886308"/>
    <w:rsid w:val="00886B6D"/>
    <w:rsid w:val="00886F94"/>
    <w:rsid w:val="0088752C"/>
    <w:rsid w:val="008902A8"/>
    <w:rsid w:val="008913D4"/>
    <w:rsid w:val="008918C2"/>
    <w:rsid w:val="00891A36"/>
    <w:rsid w:val="00893A89"/>
    <w:rsid w:val="0089416F"/>
    <w:rsid w:val="00894D8D"/>
    <w:rsid w:val="00894E75"/>
    <w:rsid w:val="00895329"/>
    <w:rsid w:val="008954BB"/>
    <w:rsid w:val="00895F99"/>
    <w:rsid w:val="008966E8"/>
    <w:rsid w:val="00896905"/>
    <w:rsid w:val="00897FA7"/>
    <w:rsid w:val="008A0870"/>
    <w:rsid w:val="008A1D0B"/>
    <w:rsid w:val="008A3327"/>
    <w:rsid w:val="008A60DF"/>
    <w:rsid w:val="008A6A14"/>
    <w:rsid w:val="008A773D"/>
    <w:rsid w:val="008B07F1"/>
    <w:rsid w:val="008B185B"/>
    <w:rsid w:val="008B1D7E"/>
    <w:rsid w:val="008B21DD"/>
    <w:rsid w:val="008B3C4F"/>
    <w:rsid w:val="008B41D0"/>
    <w:rsid w:val="008B41D9"/>
    <w:rsid w:val="008B5CDB"/>
    <w:rsid w:val="008B5F2E"/>
    <w:rsid w:val="008B67BB"/>
    <w:rsid w:val="008B7A99"/>
    <w:rsid w:val="008C0218"/>
    <w:rsid w:val="008C03BF"/>
    <w:rsid w:val="008C21B8"/>
    <w:rsid w:val="008C3787"/>
    <w:rsid w:val="008C393B"/>
    <w:rsid w:val="008C42A8"/>
    <w:rsid w:val="008C617E"/>
    <w:rsid w:val="008C6DD5"/>
    <w:rsid w:val="008D0B75"/>
    <w:rsid w:val="008D1E44"/>
    <w:rsid w:val="008D5325"/>
    <w:rsid w:val="008D74A1"/>
    <w:rsid w:val="008D76BC"/>
    <w:rsid w:val="008E217A"/>
    <w:rsid w:val="008E2460"/>
    <w:rsid w:val="008E2F8A"/>
    <w:rsid w:val="008E3540"/>
    <w:rsid w:val="008E3CA0"/>
    <w:rsid w:val="008E537D"/>
    <w:rsid w:val="008E72DD"/>
    <w:rsid w:val="008F04CA"/>
    <w:rsid w:val="008F0F45"/>
    <w:rsid w:val="008F13C2"/>
    <w:rsid w:val="008F1E30"/>
    <w:rsid w:val="008F1F31"/>
    <w:rsid w:val="008F25A6"/>
    <w:rsid w:val="008F66D2"/>
    <w:rsid w:val="008F77E4"/>
    <w:rsid w:val="008F79B6"/>
    <w:rsid w:val="00900BA2"/>
    <w:rsid w:val="00901E74"/>
    <w:rsid w:val="009036DA"/>
    <w:rsid w:val="0090473D"/>
    <w:rsid w:val="00906579"/>
    <w:rsid w:val="009103D2"/>
    <w:rsid w:val="009104F6"/>
    <w:rsid w:val="0091204B"/>
    <w:rsid w:val="009124B5"/>
    <w:rsid w:val="00915D7E"/>
    <w:rsid w:val="009161C9"/>
    <w:rsid w:val="00916587"/>
    <w:rsid w:val="00916C19"/>
    <w:rsid w:val="00917397"/>
    <w:rsid w:val="00917EC2"/>
    <w:rsid w:val="00921B46"/>
    <w:rsid w:val="00924705"/>
    <w:rsid w:val="0092528E"/>
    <w:rsid w:val="00926085"/>
    <w:rsid w:val="00926A7A"/>
    <w:rsid w:val="00927340"/>
    <w:rsid w:val="00931BC5"/>
    <w:rsid w:val="00931EA1"/>
    <w:rsid w:val="00932EAF"/>
    <w:rsid w:val="0093320B"/>
    <w:rsid w:val="00934825"/>
    <w:rsid w:val="00934B25"/>
    <w:rsid w:val="009364E3"/>
    <w:rsid w:val="009364ED"/>
    <w:rsid w:val="009368FF"/>
    <w:rsid w:val="0093714A"/>
    <w:rsid w:val="009379A0"/>
    <w:rsid w:val="00940C5F"/>
    <w:rsid w:val="009427AD"/>
    <w:rsid w:val="00944B49"/>
    <w:rsid w:val="00944EB3"/>
    <w:rsid w:val="00945584"/>
    <w:rsid w:val="00945CDB"/>
    <w:rsid w:val="009507AA"/>
    <w:rsid w:val="00950DAC"/>
    <w:rsid w:val="00953386"/>
    <w:rsid w:val="00954E87"/>
    <w:rsid w:val="00960061"/>
    <w:rsid w:val="00960078"/>
    <w:rsid w:val="009611C6"/>
    <w:rsid w:val="00962046"/>
    <w:rsid w:val="00965878"/>
    <w:rsid w:val="009668E6"/>
    <w:rsid w:val="009714D6"/>
    <w:rsid w:val="00971690"/>
    <w:rsid w:val="00973DEB"/>
    <w:rsid w:val="00974066"/>
    <w:rsid w:val="0097432D"/>
    <w:rsid w:val="00974BDA"/>
    <w:rsid w:val="00976377"/>
    <w:rsid w:val="009765D9"/>
    <w:rsid w:val="00977672"/>
    <w:rsid w:val="00980134"/>
    <w:rsid w:val="00980AD9"/>
    <w:rsid w:val="00980EB0"/>
    <w:rsid w:val="00981BF2"/>
    <w:rsid w:val="00982B9F"/>
    <w:rsid w:val="00984648"/>
    <w:rsid w:val="0098486A"/>
    <w:rsid w:val="009859B2"/>
    <w:rsid w:val="00990D3E"/>
    <w:rsid w:val="0099183F"/>
    <w:rsid w:val="009918CD"/>
    <w:rsid w:val="00991A46"/>
    <w:rsid w:val="00992FDA"/>
    <w:rsid w:val="00995153"/>
    <w:rsid w:val="00995968"/>
    <w:rsid w:val="00995FE8"/>
    <w:rsid w:val="0099603D"/>
    <w:rsid w:val="00996875"/>
    <w:rsid w:val="00996DEF"/>
    <w:rsid w:val="0099761A"/>
    <w:rsid w:val="009A0793"/>
    <w:rsid w:val="009A0AAB"/>
    <w:rsid w:val="009A0EC9"/>
    <w:rsid w:val="009A1A47"/>
    <w:rsid w:val="009A1E3B"/>
    <w:rsid w:val="009A3849"/>
    <w:rsid w:val="009A3DBB"/>
    <w:rsid w:val="009A42E7"/>
    <w:rsid w:val="009A46A2"/>
    <w:rsid w:val="009A597F"/>
    <w:rsid w:val="009A7420"/>
    <w:rsid w:val="009A75BC"/>
    <w:rsid w:val="009A773E"/>
    <w:rsid w:val="009B1B92"/>
    <w:rsid w:val="009B201B"/>
    <w:rsid w:val="009B2FE9"/>
    <w:rsid w:val="009B39AB"/>
    <w:rsid w:val="009B48CF"/>
    <w:rsid w:val="009B566F"/>
    <w:rsid w:val="009B6AE5"/>
    <w:rsid w:val="009C2795"/>
    <w:rsid w:val="009C3697"/>
    <w:rsid w:val="009C42EB"/>
    <w:rsid w:val="009C45E3"/>
    <w:rsid w:val="009C5C21"/>
    <w:rsid w:val="009C60EA"/>
    <w:rsid w:val="009C63E0"/>
    <w:rsid w:val="009D0C66"/>
    <w:rsid w:val="009D1828"/>
    <w:rsid w:val="009D2FA5"/>
    <w:rsid w:val="009D7E42"/>
    <w:rsid w:val="009E1C6C"/>
    <w:rsid w:val="009E49CA"/>
    <w:rsid w:val="009E6C04"/>
    <w:rsid w:val="009E6C92"/>
    <w:rsid w:val="009E716D"/>
    <w:rsid w:val="009F1448"/>
    <w:rsid w:val="009F1B22"/>
    <w:rsid w:val="009F20CA"/>
    <w:rsid w:val="009F2C96"/>
    <w:rsid w:val="009F4EA0"/>
    <w:rsid w:val="009F6100"/>
    <w:rsid w:val="009F6968"/>
    <w:rsid w:val="00A00329"/>
    <w:rsid w:val="00A00CAC"/>
    <w:rsid w:val="00A01500"/>
    <w:rsid w:val="00A017AC"/>
    <w:rsid w:val="00A02582"/>
    <w:rsid w:val="00A03A70"/>
    <w:rsid w:val="00A04522"/>
    <w:rsid w:val="00A04D89"/>
    <w:rsid w:val="00A06528"/>
    <w:rsid w:val="00A0664C"/>
    <w:rsid w:val="00A10EA0"/>
    <w:rsid w:val="00A1187F"/>
    <w:rsid w:val="00A13973"/>
    <w:rsid w:val="00A15824"/>
    <w:rsid w:val="00A16157"/>
    <w:rsid w:val="00A16CD5"/>
    <w:rsid w:val="00A22213"/>
    <w:rsid w:val="00A2336C"/>
    <w:rsid w:val="00A245EF"/>
    <w:rsid w:val="00A278E2"/>
    <w:rsid w:val="00A27B5C"/>
    <w:rsid w:val="00A3009E"/>
    <w:rsid w:val="00A304A2"/>
    <w:rsid w:val="00A30F4E"/>
    <w:rsid w:val="00A330BC"/>
    <w:rsid w:val="00A3448F"/>
    <w:rsid w:val="00A35D16"/>
    <w:rsid w:val="00A36A31"/>
    <w:rsid w:val="00A41D19"/>
    <w:rsid w:val="00A42B9C"/>
    <w:rsid w:val="00A42DD4"/>
    <w:rsid w:val="00A43B6D"/>
    <w:rsid w:val="00A4511D"/>
    <w:rsid w:val="00A45DA4"/>
    <w:rsid w:val="00A46676"/>
    <w:rsid w:val="00A46900"/>
    <w:rsid w:val="00A47BFD"/>
    <w:rsid w:val="00A50B3C"/>
    <w:rsid w:val="00A53822"/>
    <w:rsid w:val="00A54F64"/>
    <w:rsid w:val="00A56264"/>
    <w:rsid w:val="00A57AD6"/>
    <w:rsid w:val="00A6218E"/>
    <w:rsid w:val="00A623AA"/>
    <w:rsid w:val="00A628CF"/>
    <w:rsid w:val="00A62EB8"/>
    <w:rsid w:val="00A6317F"/>
    <w:rsid w:val="00A63C15"/>
    <w:rsid w:val="00A64A23"/>
    <w:rsid w:val="00A6587E"/>
    <w:rsid w:val="00A667F5"/>
    <w:rsid w:val="00A73909"/>
    <w:rsid w:val="00A74028"/>
    <w:rsid w:val="00A74B6A"/>
    <w:rsid w:val="00A751A0"/>
    <w:rsid w:val="00A75CD5"/>
    <w:rsid w:val="00A77C63"/>
    <w:rsid w:val="00A83E11"/>
    <w:rsid w:val="00A84C06"/>
    <w:rsid w:val="00A870F1"/>
    <w:rsid w:val="00A91AC8"/>
    <w:rsid w:val="00A94009"/>
    <w:rsid w:val="00A94925"/>
    <w:rsid w:val="00A9668F"/>
    <w:rsid w:val="00A96860"/>
    <w:rsid w:val="00AA0233"/>
    <w:rsid w:val="00AA0C9D"/>
    <w:rsid w:val="00AA109A"/>
    <w:rsid w:val="00AA1235"/>
    <w:rsid w:val="00AA1A57"/>
    <w:rsid w:val="00AA1F1D"/>
    <w:rsid w:val="00AA3064"/>
    <w:rsid w:val="00AA5D59"/>
    <w:rsid w:val="00AB2517"/>
    <w:rsid w:val="00AB2818"/>
    <w:rsid w:val="00AB38BA"/>
    <w:rsid w:val="00AB3BA7"/>
    <w:rsid w:val="00AB41B0"/>
    <w:rsid w:val="00AB4F8B"/>
    <w:rsid w:val="00AB5553"/>
    <w:rsid w:val="00AB5E02"/>
    <w:rsid w:val="00AB728A"/>
    <w:rsid w:val="00AB7CC4"/>
    <w:rsid w:val="00AC155B"/>
    <w:rsid w:val="00AC26ED"/>
    <w:rsid w:val="00AC2DD8"/>
    <w:rsid w:val="00AC4C46"/>
    <w:rsid w:val="00AC64BF"/>
    <w:rsid w:val="00AC6810"/>
    <w:rsid w:val="00AC74DD"/>
    <w:rsid w:val="00AD1FC7"/>
    <w:rsid w:val="00AD4301"/>
    <w:rsid w:val="00AD4619"/>
    <w:rsid w:val="00AD5312"/>
    <w:rsid w:val="00AD64C9"/>
    <w:rsid w:val="00AD7777"/>
    <w:rsid w:val="00AD7CB9"/>
    <w:rsid w:val="00AE1961"/>
    <w:rsid w:val="00AE25AE"/>
    <w:rsid w:val="00AE3148"/>
    <w:rsid w:val="00AE5B4C"/>
    <w:rsid w:val="00AE6D98"/>
    <w:rsid w:val="00AF15F7"/>
    <w:rsid w:val="00AF19D5"/>
    <w:rsid w:val="00AF1E40"/>
    <w:rsid w:val="00AF21D0"/>
    <w:rsid w:val="00AF2D14"/>
    <w:rsid w:val="00AF34D9"/>
    <w:rsid w:val="00AF391A"/>
    <w:rsid w:val="00AF6692"/>
    <w:rsid w:val="00AF6A39"/>
    <w:rsid w:val="00AF72B0"/>
    <w:rsid w:val="00B033FA"/>
    <w:rsid w:val="00B038BA"/>
    <w:rsid w:val="00B04C50"/>
    <w:rsid w:val="00B054FF"/>
    <w:rsid w:val="00B05A30"/>
    <w:rsid w:val="00B06AF1"/>
    <w:rsid w:val="00B0707F"/>
    <w:rsid w:val="00B1063F"/>
    <w:rsid w:val="00B11491"/>
    <w:rsid w:val="00B11ADD"/>
    <w:rsid w:val="00B11E46"/>
    <w:rsid w:val="00B13BFB"/>
    <w:rsid w:val="00B15833"/>
    <w:rsid w:val="00B16C0E"/>
    <w:rsid w:val="00B16D64"/>
    <w:rsid w:val="00B171A2"/>
    <w:rsid w:val="00B174F1"/>
    <w:rsid w:val="00B212EB"/>
    <w:rsid w:val="00B21C92"/>
    <w:rsid w:val="00B23E9B"/>
    <w:rsid w:val="00B252C6"/>
    <w:rsid w:val="00B25313"/>
    <w:rsid w:val="00B26315"/>
    <w:rsid w:val="00B276B7"/>
    <w:rsid w:val="00B309A4"/>
    <w:rsid w:val="00B3291D"/>
    <w:rsid w:val="00B3392A"/>
    <w:rsid w:val="00B33E3A"/>
    <w:rsid w:val="00B33F33"/>
    <w:rsid w:val="00B3481B"/>
    <w:rsid w:val="00B34AD3"/>
    <w:rsid w:val="00B353AE"/>
    <w:rsid w:val="00B3794E"/>
    <w:rsid w:val="00B40E09"/>
    <w:rsid w:val="00B4185A"/>
    <w:rsid w:val="00B4212C"/>
    <w:rsid w:val="00B44349"/>
    <w:rsid w:val="00B45606"/>
    <w:rsid w:val="00B500EA"/>
    <w:rsid w:val="00B508C4"/>
    <w:rsid w:val="00B51126"/>
    <w:rsid w:val="00B53437"/>
    <w:rsid w:val="00B5375E"/>
    <w:rsid w:val="00B54B62"/>
    <w:rsid w:val="00B55EF3"/>
    <w:rsid w:val="00B562FF"/>
    <w:rsid w:val="00B56717"/>
    <w:rsid w:val="00B60EC2"/>
    <w:rsid w:val="00B613D3"/>
    <w:rsid w:val="00B615CE"/>
    <w:rsid w:val="00B6358D"/>
    <w:rsid w:val="00B6522F"/>
    <w:rsid w:val="00B653B0"/>
    <w:rsid w:val="00B65425"/>
    <w:rsid w:val="00B65629"/>
    <w:rsid w:val="00B66F32"/>
    <w:rsid w:val="00B6710B"/>
    <w:rsid w:val="00B70257"/>
    <w:rsid w:val="00B70A1C"/>
    <w:rsid w:val="00B72056"/>
    <w:rsid w:val="00B74338"/>
    <w:rsid w:val="00B74DBE"/>
    <w:rsid w:val="00B75D31"/>
    <w:rsid w:val="00B760C8"/>
    <w:rsid w:val="00B76BA4"/>
    <w:rsid w:val="00B80CA1"/>
    <w:rsid w:val="00B8193D"/>
    <w:rsid w:val="00B830FD"/>
    <w:rsid w:val="00B83290"/>
    <w:rsid w:val="00B849ED"/>
    <w:rsid w:val="00B84BE8"/>
    <w:rsid w:val="00B86E66"/>
    <w:rsid w:val="00B87206"/>
    <w:rsid w:val="00B878DA"/>
    <w:rsid w:val="00B9105C"/>
    <w:rsid w:val="00B912B3"/>
    <w:rsid w:val="00B916AE"/>
    <w:rsid w:val="00B91942"/>
    <w:rsid w:val="00B91B21"/>
    <w:rsid w:val="00B92195"/>
    <w:rsid w:val="00B926BD"/>
    <w:rsid w:val="00B9281A"/>
    <w:rsid w:val="00B937AF"/>
    <w:rsid w:val="00B9409B"/>
    <w:rsid w:val="00B94839"/>
    <w:rsid w:val="00B94B17"/>
    <w:rsid w:val="00B95003"/>
    <w:rsid w:val="00B97ECC"/>
    <w:rsid w:val="00BA0538"/>
    <w:rsid w:val="00BA2B83"/>
    <w:rsid w:val="00BA3081"/>
    <w:rsid w:val="00BB00FA"/>
    <w:rsid w:val="00BB20BD"/>
    <w:rsid w:val="00BB5A2F"/>
    <w:rsid w:val="00BC1C48"/>
    <w:rsid w:val="00BC3D10"/>
    <w:rsid w:val="00BC3EAD"/>
    <w:rsid w:val="00BC472F"/>
    <w:rsid w:val="00BC520F"/>
    <w:rsid w:val="00BC5EEF"/>
    <w:rsid w:val="00BC7878"/>
    <w:rsid w:val="00BC7B46"/>
    <w:rsid w:val="00BD1DB4"/>
    <w:rsid w:val="00BD3262"/>
    <w:rsid w:val="00BD5610"/>
    <w:rsid w:val="00BD6194"/>
    <w:rsid w:val="00BD7BEE"/>
    <w:rsid w:val="00BD7F31"/>
    <w:rsid w:val="00BE032F"/>
    <w:rsid w:val="00BE304B"/>
    <w:rsid w:val="00BE45DC"/>
    <w:rsid w:val="00BE492F"/>
    <w:rsid w:val="00BE5941"/>
    <w:rsid w:val="00BE6F7C"/>
    <w:rsid w:val="00BF0652"/>
    <w:rsid w:val="00BF0EE0"/>
    <w:rsid w:val="00BF13D2"/>
    <w:rsid w:val="00BF253F"/>
    <w:rsid w:val="00BF34A0"/>
    <w:rsid w:val="00BF434D"/>
    <w:rsid w:val="00BF5249"/>
    <w:rsid w:val="00BF5E25"/>
    <w:rsid w:val="00BF6ED0"/>
    <w:rsid w:val="00BF6FD3"/>
    <w:rsid w:val="00BF6FFD"/>
    <w:rsid w:val="00BF75B3"/>
    <w:rsid w:val="00C0069D"/>
    <w:rsid w:val="00C00A5A"/>
    <w:rsid w:val="00C01B99"/>
    <w:rsid w:val="00C01F4F"/>
    <w:rsid w:val="00C02112"/>
    <w:rsid w:val="00C02773"/>
    <w:rsid w:val="00C03C42"/>
    <w:rsid w:val="00C05629"/>
    <w:rsid w:val="00C064B4"/>
    <w:rsid w:val="00C07DAB"/>
    <w:rsid w:val="00C1377A"/>
    <w:rsid w:val="00C13A65"/>
    <w:rsid w:val="00C13E83"/>
    <w:rsid w:val="00C16173"/>
    <w:rsid w:val="00C161C0"/>
    <w:rsid w:val="00C20AC5"/>
    <w:rsid w:val="00C21448"/>
    <w:rsid w:val="00C217D6"/>
    <w:rsid w:val="00C221FE"/>
    <w:rsid w:val="00C23005"/>
    <w:rsid w:val="00C231A2"/>
    <w:rsid w:val="00C241DD"/>
    <w:rsid w:val="00C253DC"/>
    <w:rsid w:val="00C25A10"/>
    <w:rsid w:val="00C26672"/>
    <w:rsid w:val="00C26AC4"/>
    <w:rsid w:val="00C27399"/>
    <w:rsid w:val="00C27795"/>
    <w:rsid w:val="00C313EE"/>
    <w:rsid w:val="00C31802"/>
    <w:rsid w:val="00C31D84"/>
    <w:rsid w:val="00C349A4"/>
    <w:rsid w:val="00C356C2"/>
    <w:rsid w:val="00C360B5"/>
    <w:rsid w:val="00C36775"/>
    <w:rsid w:val="00C37908"/>
    <w:rsid w:val="00C40853"/>
    <w:rsid w:val="00C411DD"/>
    <w:rsid w:val="00C41971"/>
    <w:rsid w:val="00C4260D"/>
    <w:rsid w:val="00C439A3"/>
    <w:rsid w:val="00C447D6"/>
    <w:rsid w:val="00C45345"/>
    <w:rsid w:val="00C45729"/>
    <w:rsid w:val="00C4592A"/>
    <w:rsid w:val="00C45B36"/>
    <w:rsid w:val="00C46B44"/>
    <w:rsid w:val="00C501BA"/>
    <w:rsid w:val="00C52153"/>
    <w:rsid w:val="00C5315F"/>
    <w:rsid w:val="00C54479"/>
    <w:rsid w:val="00C54F81"/>
    <w:rsid w:val="00C56175"/>
    <w:rsid w:val="00C563EE"/>
    <w:rsid w:val="00C611AA"/>
    <w:rsid w:val="00C6191E"/>
    <w:rsid w:val="00C619EF"/>
    <w:rsid w:val="00C61FD6"/>
    <w:rsid w:val="00C623FB"/>
    <w:rsid w:val="00C6315B"/>
    <w:rsid w:val="00C63989"/>
    <w:rsid w:val="00C63FCE"/>
    <w:rsid w:val="00C64140"/>
    <w:rsid w:val="00C64CCF"/>
    <w:rsid w:val="00C65071"/>
    <w:rsid w:val="00C65708"/>
    <w:rsid w:val="00C66A4B"/>
    <w:rsid w:val="00C66C6B"/>
    <w:rsid w:val="00C70B46"/>
    <w:rsid w:val="00C711E0"/>
    <w:rsid w:val="00C71ADA"/>
    <w:rsid w:val="00C73129"/>
    <w:rsid w:val="00C74A7E"/>
    <w:rsid w:val="00C75C48"/>
    <w:rsid w:val="00C76B87"/>
    <w:rsid w:val="00C76DFD"/>
    <w:rsid w:val="00C7764C"/>
    <w:rsid w:val="00C77FFA"/>
    <w:rsid w:val="00C80F61"/>
    <w:rsid w:val="00C818FC"/>
    <w:rsid w:val="00C8209B"/>
    <w:rsid w:val="00C83D9C"/>
    <w:rsid w:val="00C845FA"/>
    <w:rsid w:val="00C84F4E"/>
    <w:rsid w:val="00C8603F"/>
    <w:rsid w:val="00C8619D"/>
    <w:rsid w:val="00C86886"/>
    <w:rsid w:val="00C86E90"/>
    <w:rsid w:val="00C87293"/>
    <w:rsid w:val="00C87F3C"/>
    <w:rsid w:val="00C900DE"/>
    <w:rsid w:val="00C90587"/>
    <w:rsid w:val="00C906D3"/>
    <w:rsid w:val="00C969E3"/>
    <w:rsid w:val="00C96C4B"/>
    <w:rsid w:val="00C97D51"/>
    <w:rsid w:val="00CA076F"/>
    <w:rsid w:val="00CA33E6"/>
    <w:rsid w:val="00CA54F1"/>
    <w:rsid w:val="00CA7147"/>
    <w:rsid w:val="00CB0661"/>
    <w:rsid w:val="00CB0FA2"/>
    <w:rsid w:val="00CB1145"/>
    <w:rsid w:val="00CB1732"/>
    <w:rsid w:val="00CB382D"/>
    <w:rsid w:val="00CB7529"/>
    <w:rsid w:val="00CC4C0F"/>
    <w:rsid w:val="00CC4D7B"/>
    <w:rsid w:val="00CC5D2D"/>
    <w:rsid w:val="00CC5F8B"/>
    <w:rsid w:val="00CD01D4"/>
    <w:rsid w:val="00CD01FB"/>
    <w:rsid w:val="00CD0E1F"/>
    <w:rsid w:val="00CD130B"/>
    <w:rsid w:val="00CD1C47"/>
    <w:rsid w:val="00CD2338"/>
    <w:rsid w:val="00CD32AD"/>
    <w:rsid w:val="00CD420B"/>
    <w:rsid w:val="00CE0BEA"/>
    <w:rsid w:val="00CE1540"/>
    <w:rsid w:val="00CE1630"/>
    <w:rsid w:val="00CE16CD"/>
    <w:rsid w:val="00CE2692"/>
    <w:rsid w:val="00CE421B"/>
    <w:rsid w:val="00CE4317"/>
    <w:rsid w:val="00CE4A10"/>
    <w:rsid w:val="00CE50A4"/>
    <w:rsid w:val="00CE5482"/>
    <w:rsid w:val="00CE6254"/>
    <w:rsid w:val="00CE62AA"/>
    <w:rsid w:val="00CE640A"/>
    <w:rsid w:val="00CE6ADE"/>
    <w:rsid w:val="00CF10F6"/>
    <w:rsid w:val="00CF22D7"/>
    <w:rsid w:val="00CF262A"/>
    <w:rsid w:val="00CF26ED"/>
    <w:rsid w:val="00CF28CA"/>
    <w:rsid w:val="00CF4719"/>
    <w:rsid w:val="00CF659B"/>
    <w:rsid w:val="00CF6D30"/>
    <w:rsid w:val="00CF7FF7"/>
    <w:rsid w:val="00D00020"/>
    <w:rsid w:val="00D007FD"/>
    <w:rsid w:val="00D0147D"/>
    <w:rsid w:val="00D042C3"/>
    <w:rsid w:val="00D04B37"/>
    <w:rsid w:val="00D06C41"/>
    <w:rsid w:val="00D10292"/>
    <w:rsid w:val="00D103F3"/>
    <w:rsid w:val="00D11AE7"/>
    <w:rsid w:val="00D11FD2"/>
    <w:rsid w:val="00D1247B"/>
    <w:rsid w:val="00D13BD2"/>
    <w:rsid w:val="00D144C4"/>
    <w:rsid w:val="00D20EFF"/>
    <w:rsid w:val="00D2378E"/>
    <w:rsid w:val="00D23EF6"/>
    <w:rsid w:val="00D246FD"/>
    <w:rsid w:val="00D24DDC"/>
    <w:rsid w:val="00D24EA6"/>
    <w:rsid w:val="00D300C8"/>
    <w:rsid w:val="00D30687"/>
    <w:rsid w:val="00D32E06"/>
    <w:rsid w:val="00D334A7"/>
    <w:rsid w:val="00D346CE"/>
    <w:rsid w:val="00D375EA"/>
    <w:rsid w:val="00D379F3"/>
    <w:rsid w:val="00D41A88"/>
    <w:rsid w:val="00D41B6B"/>
    <w:rsid w:val="00D42D39"/>
    <w:rsid w:val="00D43D0B"/>
    <w:rsid w:val="00D4428D"/>
    <w:rsid w:val="00D44699"/>
    <w:rsid w:val="00D450BA"/>
    <w:rsid w:val="00D47E97"/>
    <w:rsid w:val="00D518DC"/>
    <w:rsid w:val="00D52ECF"/>
    <w:rsid w:val="00D53783"/>
    <w:rsid w:val="00D53EEE"/>
    <w:rsid w:val="00D552FF"/>
    <w:rsid w:val="00D55EB2"/>
    <w:rsid w:val="00D56314"/>
    <w:rsid w:val="00D57BEB"/>
    <w:rsid w:val="00D57D39"/>
    <w:rsid w:val="00D57DA5"/>
    <w:rsid w:val="00D6067A"/>
    <w:rsid w:val="00D60897"/>
    <w:rsid w:val="00D6090D"/>
    <w:rsid w:val="00D60C3A"/>
    <w:rsid w:val="00D61D3A"/>
    <w:rsid w:val="00D63C82"/>
    <w:rsid w:val="00D64969"/>
    <w:rsid w:val="00D64BE1"/>
    <w:rsid w:val="00D700D7"/>
    <w:rsid w:val="00D70708"/>
    <w:rsid w:val="00D70B87"/>
    <w:rsid w:val="00D71BF9"/>
    <w:rsid w:val="00D73B5E"/>
    <w:rsid w:val="00D75CB5"/>
    <w:rsid w:val="00D75E63"/>
    <w:rsid w:val="00D75E6E"/>
    <w:rsid w:val="00D7624D"/>
    <w:rsid w:val="00D771F4"/>
    <w:rsid w:val="00D77D35"/>
    <w:rsid w:val="00D82B1E"/>
    <w:rsid w:val="00D84F88"/>
    <w:rsid w:val="00D85B5C"/>
    <w:rsid w:val="00D85C05"/>
    <w:rsid w:val="00D87533"/>
    <w:rsid w:val="00D87C34"/>
    <w:rsid w:val="00D9140C"/>
    <w:rsid w:val="00D923EE"/>
    <w:rsid w:val="00D9477D"/>
    <w:rsid w:val="00D9623C"/>
    <w:rsid w:val="00D9625D"/>
    <w:rsid w:val="00D96B69"/>
    <w:rsid w:val="00DA0B29"/>
    <w:rsid w:val="00DA144B"/>
    <w:rsid w:val="00DA15A0"/>
    <w:rsid w:val="00DA1B02"/>
    <w:rsid w:val="00DA3AC8"/>
    <w:rsid w:val="00DA7452"/>
    <w:rsid w:val="00DA7909"/>
    <w:rsid w:val="00DA7D83"/>
    <w:rsid w:val="00DA7E64"/>
    <w:rsid w:val="00DB1D98"/>
    <w:rsid w:val="00DB2612"/>
    <w:rsid w:val="00DB307E"/>
    <w:rsid w:val="00DB3576"/>
    <w:rsid w:val="00DB3FB4"/>
    <w:rsid w:val="00DB5356"/>
    <w:rsid w:val="00DB5493"/>
    <w:rsid w:val="00DB7084"/>
    <w:rsid w:val="00DB7E5A"/>
    <w:rsid w:val="00DB7F52"/>
    <w:rsid w:val="00DC03F2"/>
    <w:rsid w:val="00DC28B3"/>
    <w:rsid w:val="00DC2C23"/>
    <w:rsid w:val="00DC2F4B"/>
    <w:rsid w:val="00DC5A66"/>
    <w:rsid w:val="00DC5D82"/>
    <w:rsid w:val="00DD2918"/>
    <w:rsid w:val="00DD2B73"/>
    <w:rsid w:val="00DD2DC8"/>
    <w:rsid w:val="00DD442B"/>
    <w:rsid w:val="00DD616B"/>
    <w:rsid w:val="00DD778B"/>
    <w:rsid w:val="00DE0F46"/>
    <w:rsid w:val="00DE24D6"/>
    <w:rsid w:val="00DE2EC7"/>
    <w:rsid w:val="00DE3909"/>
    <w:rsid w:val="00DE4E25"/>
    <w:rsid w:val="00DE63CD"/>
    <w:rsid w:val="00DE75E7"/>
    <w:rsid w:val="00DF0362"/>
    <w:rsid w:val="00DF08CE"/>
    <w:rsid w:val="00DF1BCE"/>
    <w:rsid w:val="00DF2975"/>
    <w:rsid w:val="00DF37AE"/>
    <w:rsid w:val="00DF38AE"/>
    <w:rsid w:val="00DF663D"/>
    <w:rsid w:val="00DF66CC"/>
    <w:rsid w:val="00DF6774"/>
    <w:rsid w:val="00DF71D1"/>
    <w:rsid w:val="00E0101F"/>
    <w:rsid w:val="00E02F78"/>
    <w:rsid w:val="00E0319C"/>
    <w:rsid w:val="00E03C12"/>
    <w:rsid w:val="00E03E88"/>
    <w:rsid w:val="00E06BD5"/>
    <w:rsid w:val="00E07C79"/>
    <w:rsid w:val="00E10BF8"/>
    <w:rsid w:val="00E1124D"/>
    <w:rsid w:val="00E11F0E"/>
    <w:rsid w:val="00E13561"/>
    <w:rsid w:val="00E13BD5"/>
    <w:rsid w:val="00E16064"/>
    <w:rsid w:val="00E206DE"/>
    <w:rsid w:val="00E23A4E"/>
    <w:rsid w:val="00E24110"/>
    <w:rsid w:val="00E24833"/>
    <w:rsid w:val="00E2504F"/>
    <w:rsid w:val="00E253F3"/>
    <w:rsid w:val="00E2674E"/>
    <w:rsid w:val="00E274FE"/>
    <w:rsid w:val="00E32335"/>
    <w:rsid w:val="00E32EAC"/>
    <w:rsid w:val="00E33104"/>
    <w:rsid w:val="00E34334"/>
    <w:rsid w:val="00E36444"/>
    <w:rsid w:val="00E36643"/>
    <w:rsid w:val="00E3730E"/>
    <w:rsid w:val="00E375BF"/>
    <w:rsid w:val="00E40101"/>
    <w:rsid w:val="00E4064A"/>
    <w:rsid w:val="00E41500"/>
    <w:rsid w:val="00E425A1"/>
    <w:rsid w:val="00E4421D"/>
    <w:rsid w:val="00E445C5"/>
    <w:rsid w:val="00E45864"/>
    <w:rsid w:val="00E45957"/>
    <w:rsid w:val="00E473AB"/>
    <w:rsid w:val="00E47AFD"/>
    <w:rsid w:val="00E507D5"/>
    <w:rsid w:val="00E510FD"/>
    <w:rsid w:val="00E52657"/>
    <w:rsid w:val="00E52769"/>
    <w:rsid w:val="00E53E29"/>
    <w:rsid w:val="00E53F09"/>
    <w:rsid w:val="00E545E2"/>
    <w:rsid w:val="00E54ED6"/>
    <w:rsid w:val="00E55E63"/>
    <w:rsid w:val="00E576DF"/>
    <w:rsid w:val="00E579ED"/>
    <w:rsid w:val="00E57DE8"/>
    <w:rsid w:val="00E57E0D"/>
    <w:rsid w:val="00E605E1"/>
    <w:rsid w:val="00E60AF9"/>
    <w:rsid w:val="00E60C51"/>
    <w:rsid w:val="00E60EB9"/>
    <w:rsid w:val="00E63A9A"/>
    <w:rsid w:val="00E64816"/>
    <w:rsid w:val="00E64924"/>
    <w:rsid w:val="00E64D5C"/>
    <w:rsid w:val="00E652C9"/>
    <w:rsid w:val="00E67785"/>
    <w:rsid w:val="00E701F2"/>
    <w:rsid w:val="00E727A1"/>
    <w:rsid w:val="00E72E14"/>
    <w:rsid w:val="00E72FA9"/>
    <w:rsid w:val="00E772A0"/>
    <w:rsid w:val="00E7771C"/>
    <w:rsid w:val="00E77982"/>
    <w:rsid w:val="00E77C1F"/>
    <w:rsid w:val="00E8016B"/>
    <w:rsid w:val="00E83528"/>
    <w:rsid w:val="00E8377B"/>
    <w:rsid w:val="00E843AD"/>
    <w:rsid w:val="00E8616C"/>
    <w:rsid w:val="00E879C7"/>
    <w:rsid w:val="00E87DEF"/>
    <w:rsid w:val="00E930BD"/>
    <w:rsid w:val="00E93BA0"/>
    <w:rsid w:val="00E93F8F"/>
    <w:rsid w:val="00E943F4"/>
    <w:rsid w:val="00E94893"/>
    <w:rsid w:val="00E9489E"/>
    <w:rsid w:val="00E971C3"/>
    <w:rsid w:val="00E97B61"/>
    <w:rsid w:val="00E97D3B"/>
    <w:rsid w:val="00EA1C23"/>
    <w:rsid w:val="00EA2446"/>
    <w:rsid w:val="00EA2C3E"/>
    <w:rsid w:val="00EA3D7E"/>
    <w:rsid w:val="00EA42EB"/>
    <w:rsid w:val="00EA504F"/>
    <w:rsid w:val="00EA5073"/>
    <w:rsid w:val="00EA5706"/>
    <w:rsid w:val="00EA580C"/>
    <w:rsid w:val="00EA6733"/>
    <w:rsid w:val="00EA6D33"/>
    <w:rsid w:val="00EA762C"/>
    <w:rsid w:val="00EB084E"/>
    <w:rsid w:val="00EB0EB9"/>
    <w:rsid w:val="00EB2DE6"/>
    <w:rsid w:val="00EB3C9A"/>
    <w:rsid w:val="00EB5B7E"/>
    <w:rsid w:val="00EB7800"/>
    <w:rsid w:val="00EB7FD7"/>
    <w:rsid w:val="00EC0748"/>
    <w:rsid w:val="00EC328E"/>
    <w:rsid w:val="00EC3CE4"/>
    <w:rsid w:val="00EC4A86"/>
    <w:rsid w:val="00EC4FDE"/>
    <w:rsid w:val="00EC4FF6"/>
    <w:rsid w:val="00ED00EE"/>
    <w:rsid w:val="00ED1A3C"/>
    <w:rsid w:val="00ED2BF1"/>
    <w:rsid w:val="00ED30A0"/>
    <w:rsid w:val="00ED5385"/>
    <w:rsid w:val="00ED5D70"/>
    <w:rsid w:val="00ED63EE"/>
    <w:rsid w:val="00ED72BB"/>
    <w:rsid w:val="00ED77CF"/>
    <w:rsid w:val="00EE0291"/>
    <w:rsid w:val="00EE02BF"/>
    <w:rsid w:val="00EE1175"/>
    <w:rsid w:val="00EE498F"/>
    <w:rsid w:val="00EE5084"/>
    <w:rsid w:val="00EE5CA0"/>
    <w:rsid w:val="00EE6130"/>
    <w:rsid w:val="00EE69E8"/>
    <w:rsid w:val="00EE6BAC"/>
    <w:rsid w:val="00EE6CFE"/>
    <w:rsid w:val="00EE7725"/>
    <w:rsid w:val="00EF0591"/>
    <w:rsid w:val="00EF0595"/>
    <w:rsid w:val="00EF12C0"/>
    <w:rsid w:val="00EF1CD7"/>
    <w:rsid w:val="00EF2878"/>
    <w:rsid w:val="00EF3433"/>
    <w:rsid w:val="00EF3977"/>
    <w:rsid w:val="00EF3E54"/>
    <w:rsid w:val="00EF4282"/>
    <w:rsid w:val="00EF5EB8"/>
    <w:rsid w:val="00F00948"/>
    <w:rsid w:val="00F00BBB"/>
    <w:rsid w:val="00F01A89"/>
    <w:rsid w:val="00F01BAB"/>
    <w:rsid w:val="00F0287B"/>
    <w:rsid w:val="00F02FF8"/>
    <w:rsid w:val="00F038DE"/>
    <w:rsid w:val="00F04BAA"/>
    <w:rsid w:val="00F057B2"/>
    <w:rsid w:val="00F05C3E"/>
    <w:rsid w:val="00F063BE"/>
    <w:rsid w:val="00F066AB"/>
    <w:rsid w:val="00F06BC1"/>
    <w:rsid w:val="00F07836"/>
    <w:rsid w:val="00F07842"/>
    <w:rsid w:val="00F11331"/>
    <w:rsid w:val="00F12303"/>
    <w:rsid w:val="00F126E0"/>
    <w:rsid w:val="00F12870"/>
    <w:rsid w:val="00F12B99"/>
    <w:rsid w:val="00F12C9F"/>
    <w:rsid w:val="00F1308C"/>
    <w:rsid w:val="00F13853"/>
    <w:rsid w:val="00F138A1"/>
    <w:rsid w:val="00F13AEC"/>
    <w:rsid w:val="00F13E3E"/>
    <w:rsid w:val="00F176FC"/>
    <w:rsid w:val="00F17D62"/>
    <w:rsid w:val="00F21DD6"/>
    <w:rsid w:val="00F229AF"/>
    <w:rsid w:val="00F22F71"/>
    <w:rsid w:val="00F24B7B"/>
    <w:rsid w:val="00F24CF8"/>
    <w:rsid w:val="00F25405"/>
    <w:rsid w:val="00F271D1"/>
    <w:rsid w:val="00F2747F"/>
    <w:rsid w:val="00F33FE8"/>
    <w:rsid w:val="00F34092"/>
    <w:rsid w:val="00F343F4"/>
    <w:rsid w:val="00F34A6A"/>
    <w:rsid w:val="00F34DC5"/>
    <w:rsid w:val="00F34E5D"/>
    <w:rsid w:val="00F35FE4"/>
    <w:rsid w:val="00F36055"/>
    <w:rsid w:val="00F3633F"/>
    <w:rsid w:val="00F3684F"/>
    <w:rsid w:val="00F40403"/>
    <w:rsid w:val="00F41760"/>
    <w:rsid w:val="00F41BDF"/>
    <w:rsid w:val="00F420CD"/>
    <w:rsid w:val="00F43447"/>
    <w:rsid w:val="00F43932"/>
    <w:rsid w:val="00F4540F"/>
    <w:rsid w:val="00F45A99"/>
    <w:rsid w:val="00F45BB6"/>
    <w:rsid w:val="00F461F3"/>
    <w:rsid w:val="00F469FF"/>
    <w:rsid w:val="00F46A57"/>
    <w:rsid w:val="00F5036C"/>
    <w:rsid w:val="00F50C7C"/>
    <w:rsid w:val="00F518E6"/>
    <w:rsid w:val="00F5254F"/>
    <w:rsid w:val="00F5306E"/>
    <w:rsid w:val="00F535BD"/>
    <w:rsid w:val="00F538DD"/>
    <w:rsid w:val="00F54534"/>
    <w:rsid w:val="00F549B0"/>
    <w:rsid w:val="00F549D7"/>
    <w:rsid w:val="00F558CD"/>
    <w:rsid w:val="00F55EE3"/>
    <w:rsid w:val="00F57234"/>
    <w:rsid w:val="00F57A90"/>
    <w:rsid w:val="00F61A70"/>
    <w:rsid w:val="00F65401"/>
    <w:rsid w:val="00F70D27"/>
    <w:rsid w:val="00F72096"/>
    <w:rsid w:val="00F75ABC"/>
    <w:rsid w:val="00F769CA"/>
    <w:rsid w:val="00F76CDD"/>
    <w:rsid w:val="00F80975"/>
    <w:rsid w:val="00F80ECC"/>
    <w:rsid w:val="00F812C2"/>
    <w:rsid w:val="00F81F6E"/>
    <w:rsid w:val="00F827F5"/>
    <w:rsid w:val="00F850FD"/>
    <w:rsid w:val="00F85583"/>
    <w:rsid w:val="00F859EB"/>
    <w:rsid w:val="00F863B4"/>
    <w:rsid w:val="00F86C68"/>
    <w:rsid w:val="00F86D1A"/>
    <w:rsid w:val="00F91C82"/>
    <w:rsid w:val="00F91F9E"/>
    <w:rsid w:val="00F92A29"/>
    <w:rsid w:val="00F93C7A"/>
    <w:rsid w:val="00F951A3"/>
    <w:rsid w:val="00F95203"/>
    <w:rsid w:val="00F9572A"/>
    <w:rsid w:val="00F95E15"/>
    <w:rsid w:val="00F961E2"/>
    <w:rsid w:val="00FA044C"/>
    <w:rsid w:val="00FA0B25"/>
    <w:rsid w:val="00FA2839"/>
    <w:rsid w:val="00FA2938"/>
    <w:rsid w:val="00FA36C2"/>
    <w:rsid w:val="00FA3CBD"/>
    <w:rsid w:val="00FA3D38"/>
    <w:rsid w:val="00FA41C6"/>
    <w:rsid w:val="00FA42DF"/>
    <w:rsid w:val="00FA4558"/>
    <w:rsid w:val="00FA4EAF"/>
    <w:rsid w:val="00FA4ED0"/>
    <w:rsid w:val="00FA50F6"/>
    <w:rsid w:val="00FA7E0B"/>
    <w:rsid w:val="00FB056F"/>
    <w:rsid w:val="00FB31CE"/>
    <w:rsid w:val="00FB55AB"/>
    <w:rsid w:val="00FB68E9"/>
    <w:rsid w:val="00FC1738"/>
    <w:rsid w:val="00FC2240"/>
    <w:rsid w:val="00FC2D9D"/>
    <w:rsid w:val="00FC312F"/>
    <w:rsid w:val="00FC3344"/>
    <w:rsid w:val="00FC4649"/>
    <w:rsid w:val="00FC61D8"/>
    <w:rsid w:val="00FC7EB7"/>
    <w:rsid w:val="00FD011C"/>
    <w:rsid w:val="00FD05AB"/>
    <w:rsid w:val="00FD064F"/>
    <w:rsid w:val="00FD1882"/>
    <w:rsid w:val="00FD25D0"/>
    <w:rsid w:val="00FD3CDE"/>
    <w:rsid w:val="00FD40D5"/>
    <w:rsid w:val="00FD4BDC"/>
    <w:rsid w:val="00FD4CFA"/>
    <w:rsid w:val="00FD4F53"/>
    <w:rsid w:val="00FD6B24"/>
    <w:rsid w:val="00FD6DD7"/>
    <w:rsid w:val="00FD78BE"/>
    <w:rsid w:val="00FD7D7A"/>
    <w:rsid w:val="00FE02B5"/>
    <w:rsid w:val="00FE08EC"/>
    <w:rsid w:val="00FE1290"/>
    <w:rsid w:val="00FE14D8"/>
    <w:rsid w:val="00FE161A"/>
    <w:rsid w:val="00FE3660"/>
    <w:rsid w:val="00FE4C52"/>
    <w:rsid w:val="00FE5B33"/>
    <w:rsid w:val="00FE619E"/>
    <w:rsid w:val="00FE727A"/>
    <w:rsid w:val="00FF4DC4"/>
    <w:rsid w:val="00FF4E5E"/>
    <w:rsid w:val="00FF5554"/>
    <w:rsid w:val="00FF6ADD"/>
    <w:rsid w:val="00FF6C92"/>
    <w:rsid w:val="00FF7128"/>
    <w:rsid w:val="00FF7A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993C"/>
  <w15:docId w15:val="{B4B4D514-16B7-264B-80F0-686CEBEA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rimson Pro" w:eastAsia="Crimson Pro" w:hAnsi="Crimson Pro" w:cs="Crimson Pro"/>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D5"/>
    <w:pPr>
      <w:spacing w:line="360" w:lineRule="exact"/>
    </w:pPr>
    <w:rPr>
      <w:rFonts w:ascii="Times New Roman" w:hAnsi="Times New Roman"/>
      <w:sz w:val="24"/>
    </w:rPr>
  </w:style>
  <w:style w:type="paragraph" w:styleId="Heading1">
    <w:name w:val="heading 1"/>
    <w:basedOn w:val="Normal"/>
    <w:next w:val="Normal"/>
    <w:uiPriority w:val="9"/>
    <w:qFormat/>
    <w:rsid w:val="00BF5E25"/>
    <w:pPr>
      <w:pBdr>
        <w:top w:val="nil"/>
        <w:left w:val="nil"/>
        <w:bottom w:val="nil"/>
        <w:right w:val="nil"/>
        <w:between w:val="nil"/>
      </w:pBdr>
      <w:outlineLvl w:val="0"/>
    </w:pPr>
    <w:rPr>
      <w:rFonts w:ascii="Helvetica" w:hAnsi="Helvetica"/>
      <w:b/>
      <w:color w:val="595959" w:themeColor="text1" w:themeTint="A6"/>
      <w:sz w:val="48"/>
      <w:szCs w:val="48"/>
    </w:rPr>
  </w:style>
  <w:style w:type="paragraph" w:styleId="Heading2">
    <w:name w:val="heading 2"/>
    <w:basedOn w:val="Normal"/>
    <w:next w:val="Normal"/>
    <w:uiPriority w:val="9"/>
    <w:unhideWhenUsed/>
    <w:qFormat/>
    <w:rsid w:val="001A1351"/>
    <w:pPr>
      <w:keepNext/>
      <w:pBdr>
        <w:top w:val="nil"/>
        <w:left w:val="nil"/>
        <w:bottom w:val="nil"/>
        <w:right w:val="nil"/>
        <w:between w:val="nil"/>
      </w:pBdr>
      <w:outlineLvl w:val="1"/>
    </w:pPr>
    <w:rPr>
      <w:b/>
      <w:color w:val="7F7F7F" w:themeColor="text1" w:themeTint="80"/>
      <w:sz w:val="32"/>
      <w:szCs w:val="36"/>
    </w:rPr>
  </w:style>
  <w:style w:type="paragraph" w:styleId="Heading3">
    <w:name w:val="heading 3"/>
    <w:basedOn w:val="Normal"/>
    <w:next w:val="Normal"/>
    <w:uiPriority w:val="9"/>
    <w:unhideWhenUsed/>
    <w:qFormat/>
    <w:rsid w:val="008954BB"/>
    <w:pPr>
      <w:keepNext/>
      <w:pBdr>
        <w:top w:val="nil"/>
        <w:left w:val="nil"/>
        <w:bottom w:val="nil"/>
        <w:right w:val="nil"/>
        <w:between w:val="nil"/>
      </w:pBdr>
      <w:outlineLvl w:val="2"/>
    </w:pPr>
    <w:rPr>
      <w:b/>
      <w:color w:val="7F7F7F" w:themeColor="text1" w:themeTint="8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b/>
      <w:szCs w:val="24"/>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b/>
      <w:sz w:val="16"/>
      <w:szCs w:val="16"/>
    </w:rPr>
  </w:style>
  <w:style w:type="paragraph" w:styleId="Heading9">
    <w:name w:val="heading 9"/>
    <w:basedOn w:val="Normal"/>
    <w:next w:val="Normal"/>
    <w:link w:val="Heading9Char"/>
    <w:uiPriority w:val="9"/>
    <w:unhideWhenUsed/>
    <w:qFormat/>
    <w:rsid w:val="00121D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Heading9Char">
    <w:name w:val="Heading 9 Char"/>
    <w:basedOn w:val="DefaultParagraphFont"/>
    <w:link w:val="Heading9"/>
    <w:uiPriority w:val="9"/>
    <w:rsid w:val="00121D47"/>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nhideWhenUsed/>
    <w:rsid w:val="003D6957"/>
    <w:pPr>
      <w:spacing w:before="60" w:line="320" w:lineRule="exact"/>
      <w:jc w:val="both"/>
    </w:pPr>
    <w:rPr>
      <w:sz w:val="22"/>
      <w:szCs w:val="20"/>
    </w:rPr>
  </w:style>
  <w:style w:type="character" w:customStyle="1" w:styleId="FootnoteTextChar">
    <w:name w:val="Footnote Text Char"/>
    <w:basedOn w:val="DefaultParagraphFont"/>
    <w:link w:val="FootnoteText"/>
    <w:qFormat/>
    <w:rsid w:val="003D6957"/>
    <w:rPr>
      <w:rFonts w:ascii="Times New Roman" w:hAnsi="Times New Roman"/>
      <w:szCs w:val="20"/>
    </w:rPr>
  </w:style>
  <w:style w:type="character" w:styleId="FootnoteReference">
    <w:name w:val="footnote reference"/>
    <w:basedOn w:val="DefaultParagraphFont"/>
    <w:uiPriority w:val="99"/>
    <w:unhideWhenUsed/>
    <w:rsid w:val="00D300C8"/>
    <w:rPr>
      <w:vertAlign w:val="superscript"/>
    </w:rPr>
  </w:style>
  <w:style w:type="paragraph" w:styleId="Header">
    <w:name w:val="header"/>
    <w:basedOn w:val="Normal"/>
    <w:link w:val="HeaderChar"/>
    <w:uiPriority w:val="99"/>
    <w:unhideWhenUsed/>
    <w:rsid w:val="00383443"/>
    <w:pPr>
      <w:tabs>
        <w:tab w:val="center" w:pos="4680"/>
        <w:tab w:val="right" w:pos="9360"/>
      </w:tabs>
      <w:spacing w:line="240" w:lineRule="auto"/>
    </w:pPr>
  </w:style>
  <w:style w:type="character" w:customStyle="1" w:styleId="HeaderChar">
    <w:name w:val="Header Char"/>
    <w:basedOn w:val="DefaultParagraphFont"/>
    <w:link w:val="Header"/>
    <w:uiPriority w:val="99"/>
    <w:rsid w:val="00383443"/>
    <w:rPr>
      <w:rFonts w:ascii="Times New Roman" w:hAnsi="Times New Roman"/>
      <w:sz w:val="24"/>
    </w:rPr>
  </w:style>
  <w:style w:type="paragraph" w:styleId="Footer">
    <w:name w:val="footer"/>
    <w:basedOn w:val="Normal"/>
    <w:link w:val="FooterChar"/>
    <w:uiPriority w:val="99"/>
    <w:unhideWhenUsed/>
    <w:rsid w:val="00383443"/>
    <w:pPr>
      <w:tabs>
        <w:tab w:val="center" w:pos="4680"/>
        <w:tab w:val="right" w:pos="9360"/>
      </w:tabs>
      <w:spacing w:line="240" w:lineRule="auto"/>
    </w:pPr>
  </w:style>
  <w:style w:type="character" w:customStyle="1" w:styleId="FooterChar">
    <w:name w:val="Footer Char"/>
    <w:basedOn w:val="DefaultParagraphFont"/>
    <w:link w:val="Footer"/>
    <w:uiPriority w:val="99"/>
    <w:rsid w:val="00383443"/>
    <w:rPr>
      <w:rFonts w:ascii="Times New Roman" w:hAnsi="Times New Roman"/>
      <w:sz w:val="24"/>
    </w:rPr>
  </w:style>
  <w:style w:type="paragraph" w:customStyle="1" w:styleId="Standard1218justified">
    <w:name w:val="Standard: 12/18 justified"/>
    <w:basedOn w:val="Normal"/>
    <w:qFormat/>
    <w:rsid w:val="000C6C09"/>
    <w:pPr>
      <w:widowControl/>
      <w:ind w:firstLine="360"/>
      <w:jc w:val="both"/>
    </w:pPr>
    <w:rPr>
      <w:rFonts w:eastAsiaTheme="minorHAnsi" w:cs="Times New Roman"/>
      <w:szCs w:val="24"/>
      <w:lang w:bidi="en-US"/>
    </w:rPr>
  </w:style>
  <w:style w:type="paragraph" w:customStyle="1" w:styleId="StandardFL">
    <w:name w:val="Standard FL"/>
    <w:basedOn w:val="Standard1218justified"/>
    <w:next w:val="Standard1218justified"/>
    <w:qFormat/>
    <w:rsid w:val="00120C4E"/>
    <w:pPr>
      <w:ind w:firstLine="0"/>
    </w:pPr>
  </w:style>
  <w:style w:type="character" w:customStyle="1" w:styleId="v-VerseNumber">
    <w:name w:val="v - Verse Number"/>
    <w:uiPriority w:val="99"/>
    <w:rsid w:val="00B500EA"/>
    <w:rPr>
      <w:b/>
      <w:bCs/>
      <w:color w:val="404040"/>
      <w:vertAlign w:val="superscript"/>
    </w:rPr>
  </w:style>
  <w:style w:type="paragraph" w:customStyle="1" w:styleId="po-Paragraph-LetterOpening">
    <w:name w:val="po - Paragraph - Letter Opening"/>
    <w:uiPriority w:val="99"/>
    <w:rsid w:val="00B500EA"/>
    <w:pPr>
      <w:autoSpaceDE w:val="0"/>
      <w:autoSpaceDN w:val="0"/>
      <w:adjustRightInd w:val="0"/>
      <w:ind w:firstLine="187"/>
    </w:pPr>
    <w:rPr>
      <w:rFonts w:ascii="Charis SIL" w:eastAsia="Times New Roman" w:hAnsi="Charis SIL" w:cs="Times New Roman"/>
      <w:color w:val="000000"/>
      <w:sz w:val="24"/>
      <w:szCs w:val="24"/>
    </w:rPr>
  </w:style>
  <w:style w:type="character" w:customStyle="1" w:styleId="fr-Footnote-Reference">
    <w:name w:val="fr - Footnote - Reference"/>
    <w:uiPriority w:val="99"/>
    <w:rsid w:val="00B500EA"/>
    <w:rPr>
      <w:b/>
      <w:bCs/>
      <w:color w:val="000000"/>
    </w:rPr>
  </w:style>
  <w:style w:type="character" w:customStyle="1" w:styleId="ft-Footnote-Text">
    <w:name w:val="ft - Footnote - Text"/>
    <w:uiPriority w:val="99"/>
    <w:rsid w:val="00B500EA"/>
    <w:rPr>
      <w:color w:val="404040"/>
      <w:sz w:val="23"/>
    </w:rPr>
  </w:style>
  <w:style w:type="character" w:customStyle="1" w:styleId="fq-Footnote-QuotationorAlternateRendering">
    <w:name w:val="fq - Footnote - Quotation or Alternate Rendering"/>
    <w:uiPriority w:val="99"/>
    <w:rsid w:val="00B500EA"/>
    <w:rPr>
      <w:i/>
      <w:iCs/>
      <w:color w:val="B22222"/>
    </w:rPr>
  </w:style>
  <w:style w:type="character" w:customStyle="1" w:styleId="fp-FootnoteParagraphMark">
    <w:name w:val="fp - Footnote Paragraph Mark"/>
    <w:uiPriority w:val="99"/>
    <w:rsid w:val="00B500EA"/>
    <w:rPr>
      <w:color w:val="000000"/>
    </w:rPr>
  </w:style>
  <w:style w:type="paragraph" w:customStyle="1" w:styleId="efef-Study-ExtendedFootnote">
    <w:name w:val="ef...ef* - Study - Extended Footnote"/>
    <w:uiPriority w:val="99"/>
    <w:rsid w:val="00B500EA"/>
    <w:pPr>
      <w:autoSpaceDE w:val="0"/>
      <w:autoSpaceDN w:val="0"/>
      <w:adjustRightInd w:val="0"/>
    </w:pPr>
    <w:rPr>
      <w:rFonts w:ascii="Charis SIL" w:eastAsia="Times New Roman" w:hAnsi="Charis SIL" w:cs="Times New Roman"/>
      <w:color w:val="000000"/>
      <w:sz w:val="24"/>
      <w:szCs w:val="24"/>
    </w:rPr>
  </w:style>
  <w:style w:type="character" w:customStyle="1" w:styleId="FootnoteRef">
    <w:name w:val="Footnote Ref"/>
    <w:uiPriority w:val="99"/>
    <w:rsid w:val="007B1648"/>
    <w:rPr>
      <w:vertAlign w:val="superscript"/>
    </w:rPr>
  </w:style>
  <w:style w:type="paragraph" w:customStyle="1" w:styleId="ff-Footnote">
    <w:name w:val="f...f* - Footnote"/>
    <w:uiPriority w:val="99"/>
    <w:rsid w:val="00323672"/>
    <w:pPr>
      <w:autoSpaceDE w:val="0"/>
      <w:autoSpaceDN w:val="0"/>
      <w:adjustRightInd w:val="0"/>
    </w:pPr>
    <w:rPr>
      <w:rFonts w:ascii="Charis SIL" w:eastAsiaTheme="minorEastAsia" w:hAnsi="Charis SIL" w:cs="Times New Roman"/>
      <w:color w:val="000000"/>
      <w:sz w:val="24"/>
      <w:szCs w:val="24"/>
    </w:rPr>
  </w:style>
  <w:style w:type="table" w:styleId="TableGrid">
    <w:name w:val="Table Grid"/>
    <w:basedOn w:val="TableNormal"/>
    <w:uiPriority w:val="39"/>
    <w:rsid w:val="00C6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9DD"/>
    <w:rPr>
      <w:color w:val="0000FF" w:themeColor="hyperlink"/>
      <w:u w:val="single"/>
    </w:rPr>
  </w:style>
  <w:style w:type="character" w:styleId="UnresolvedMention">
    <w:name w:val="Unresolved Mention"/>
    <w:basedOn w:val="DefaultParagraphFont"/>
    <w:uiPriority w:val="99"/>
    <w:semiHidden/>
    <w:unhideWhenUsed/>
    <w:rsid w:val="001369DD"/>
    <w:rPr>
      <w:color w:val="605E5C"/>
      <w:shd w:val="clear" w:color="auto" w:fill="E1DFDD"/>
    </w:rPr>
  </w:style>
  <w:style w:type="paragraph" w:styleId="z-TopofForm">
    <w:name w:val="HTML Top of Form"/>
    <w:basedOn w:val="Normal"/>
    <w:next w:val="Normal"/>
    <w:link w:val="z-TopofFormChar"/>
    <w:hidden/>
    <w:uiPriority w:val="99"/>
    <w:semiHidden/>
    <w:unhideWhenUsed/>
    <w:rsid w:val="00B613D3"/>
    <w:pPr>
      <w:widowControl/>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3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13D3"/>
    <w:pPr>
      <w:widowControl/>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3D3"/>
    <w:rPr>
      <w:rFonts w:ascii="Arial" w:eastAsia="Times New Roman" w:hAnsi="Arial" w:cs="Arial"/>
      <w:vanish/>
      <w:sz w:val="16"/>
      <w:szCs w:val="16"/>
    </w:rPr>
  </w:style>
  <w:style w:type="paragraph" w:styleId="ListParagraph">
    <w:name w:val="List Paragraph"/>
    <w:basedOn w:val="Normal"/>
    <w:uiPriority w:val="34"/>
    <w:qFormat/>
    <w:rsid w:val="00853BB7"/>
    <w:pPr>
      <w:ind w:left="720"/>
      <w:contextualSpacing/>
    </w:pPr>
  </w:style>
  <w:style w:type="character" w:styleId="FollowedHyperlink">
    <w:name w:val="FollowedHyperlink"/>
    <w:basedOn w:val="DefaultParagraphFont"/>
    <w:uiPriority w:val="99"/>
    <w:semiHidden/>
    <w:unhideWhenUsed/>
    <w:rsid w:val="006E5491"/>
    <w:rPr>
      <w:color w:val="800080" w:themeColor="followedHyperlink"/>
      <w:u w:val="single"/>
    </w:rPr>
  </w:style>
  <w:style w:type="character" w:customStyle="1" w:styleId="usfmft">
    <w:name w:val="usfm_ft"/>
    <w:basedOn w:val="DefaultParagraphFont"/>
    <w:rsid w:val="00DF663D"/>
  </w:style>
  <w:style w:type="paragraph" w:styleId="Revision">
    <w:name w:val="Revision"/>
    <w:hidden/>
    <w:uiPriority w:val="99"/>
    <w:semiHidden/>
    <w:rsid w:val="00D4428D"/>
    <w:pPr>
      <w:widowControl/>
    </w:pPr>
    <w:rPr>
      <w:rFonts w:ascii="Times New Roman" w:hAnsi="Times New Roman"/>
      <w:sz w:val="24"/>
    </w:rPr>
  </w:style>
  <w:style w:type="character" w:customStyle="1" w:styleId="ndnd-SpecialText-NameofDeity">
    <w:name w:val="nd...nd* - Special Text - Name of Deity"/>
    <w:uiPriority w:val="99"/>
    <w:rsid w:val="0093714A"/>
    <w:rPr>
      <w:color w:val="000000"/>
      <w:u w:val="single"/>
    </w:rPr>
  </w:style>
  <w:style w:type="character" w:customStyle="1" w:styleId="xt-CrossReference-TargetReferences">
    <w:name w:val="xt - Cross Reference - Target References"/>
    <w:uiPriority w:val="99"/>
    <w:rsid w:val="001F2308"/>
    <w:rPr>
      <w:color w:val="000000"/>
    </w:rPr>
  </w:style>
  <w:style w:type="paragraph" w:styleId="CommentText">
    <w:name w:val="annotation text"/>
    <w:basedOn w:val="Normal"/>
    <w:link w:val="CommentTextChar"/>
    <w:semiHidden/>
    <w:rsid w:val="00F24CF8"/>
    <w:pPr>
      <w:spacing w:line="240" w:lineRule="auto"/>
      <w:jc w:val="both"/>
    </w:pPr>
    <w:rPr>
      <w:rFonts w:eastAsia="Times New Roman" w:cs="David"/>
      <w:sz w:val="20"/>
      <w:lang w:eastAsia="he-IL"/>
    </w:rPr>
  </w:style>
  <w:style w:type="character" w:customStyle="1" w:styleId="CommentTextChar">
    <w:name w:val="Comment Text Char"/>
    <w:basedOn w:val="DefaultParagraphFont"/>
    <w:link w:val="CommentText"/>
    <w:semiHidden/>
    <w:rsid w:val="00F24CF8"/>
    <w:rPr>
      <w:rFonts w:ascii="Times New Roman" w:eastAsia="Times New Roman" w:hAnsi="Times New Roman" w:cs="David"/>
      <w:sz w:val="20"/>
      <w:lang w:eastAsia="he-IL"/>
    </w:rPr>
  </w:style>
  <w:style w:type="character" w:styleId="EndnoteReference">
    <w:name w:val="endnote reference"/>
    <w:basedOn w:val="DefaultParagraphFont"/>
    <w:rsid w:val="00F24CF8"/>
    <w:rPr>
      <w:rFonts w:ascii="TimelT" w:hAnsi="TimelT"/>
      <w:position w:val="-1"/>
      <w:sz w:val="32"/>
      <w:vertAlign w:val="superscript"/>
    </w:rPr>
  </w:style>
  <w:style w:type="paragraph" w:styleId="BodyText2">
    <w:name w:val="Body Text 2"/>
    <w:basedOn w:val="Normal"/>
    <w:link w:val="BodyText2Char"/>
    <w:rsid w:val="00F24CF8"/>
    <w:pPr>
      <w:spacing w:line="320" w:lineRule="exact"/>
      <w:ind w:firstLine="170"/>
      <w:jc w:val="both"/>
    </w:pPr>
    <w:rPr>
      <w:rFonts w:eastAsia="Times New Roman" w:cs="David"/>
      <w:sz w:val="22"/>
      <w:lang w:eastAsia="he-IL"/>
    </w:rPr>
  </w:style>
  <w:style w:type="character" w:customStyle="1" w:styleId="BodyText2Char">
    <w:name w:val="Body Text 2 Char"/>
    <w:basedOn w:val="DefaultParagraphFont"/>
    <w:link w:val="BodyText2"/>
    <w:rsid w:val="00F24CF8"/>
    <w:rPr>
      <w:rFonts w:ascii="Times New Roman" w:eastAsia="Times New Roman" w:hAnsi="Times New Roman" w:cs="David"/>
      <w:lang w:eastAsia="he-IL"/>
    </w:rPr>
  </w:style>
  <w:style w:type="character" w:styleId="CommentReference">
    <w:name w:val="annotation reference"/>
    <w:basedOn w:val="DefaultParagraphFont"/>
    <w:uiPriority w:val="99"/>
    <w:semiHidden/>
    <w:unhideWhenUsed/>
    <w:rsid w:val="00B3794E"/>
    <w:rPr>
      <w:sz w:val="16"/>
      <w:szCs w:val="16"/>
    </w:rPr>
  </w:style>
  <w:style w:type="paragraph" w:styleId="CommentSubject">
    <w:name w:val="annotation subject"/>
    <w:basedOn w:val="CommentText"/>
    <w:next w:val="CommentText"/>
    <w:link w:val="CommentSubjectChar"/>
    <w:uiPriority w:val="99"/>
    <w:semiHidden/>
    <w:unhideWhenUsed/>
    <w:rsid w:val="00B3794E"/>
    <w:pPr>
      <w:jc w:val="left"/>
    </w:pPr>
    <w:rPr>
      <w:rFonts w:eastAsia="Crimson Pro" w:cs="Crimson Pro"/>
      <w:b/>
      <w:bCs/>
      <w:szCs w:val="20"/>
      <w:lang w:eastAsia="en-US"/>
    </w:rPr>
  </w:style>
  <w:style w:type="character" w:customStyle="1" w:styleId="CommentSubjectChar">
    <w:name w:val="Comment Subject Char"/>
    <w:basedOn w:val="CommentTextChar"/>
    <w:link w:val="CommentSubject"/>
    <w:uiPriority w:val="99"/>
    <w:semiHidden/>
    <w:rsid w:val="00B3794E"/>
    <w:rPr>
      <w:rFonts w:ascii="Times New Roman" w:eastAsia="Times New Roman" w:hAnsi="Times New Roman" w:cs="David"/>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9686">
      <w:bodyDiv w:val="1"/>
      <w:marLeft w:val="0"/>
      <w:marRight w:val="0"/>
      <w:marTop w:val="0"/>
      <w:marBottom w:val="0"/>
      <w:divBdr>
        <w:top w:val="none" w:sz="0" w:space="0" w:color="auto"/>
        <w:left w:val="none" w:sz="0" w:space="0" w:color="auto"/>
        <w:bottom w:val="none" w:sz="0" w:space="0" w:color="auto"/>
        <w:right w:val="none" w:sz="0" w:space="0" w:color="auto"/>
      </w:divBdr>
      <w:divsChild>
        <w:div w:id="853569858">
          <w:marLeft w:val="0"/>
          <w:marRight w:val="0"/>
          <w:marTop w:val="0"/>
          <w:marBottom w:val="0"/>
          <w:divBdr>
            <w:top w:val="none" w:sz="0" w:space="0" w:color="auto"/>
            <w:left w:val="none" w:sz="0" w:space="0" w:color="auto"/>
            <w:bottom w:val="none" w:sz="0" w:space="0" w:color="auto"/>
            <w:right w:val="none" w:sz="0" w:space="0" w:color="auto"/>
          </w:divBdr>
        </w:div>
        <w:div w:id="464352287">
          <w:marLeft w:val="0"/>
          <w:marRight w:val="0"/>
          <w:marTop w:val="0"/>
          <w:marBottom w:val="0"/>
          <w:divBdr>
            <w:top w:val="none" w:sz="0" w:space="0" w:color="auto"/>
            <w:left w:val="none" w:sz="0" w:space="0" w:color="auto"/>
            <w:bottom w:val="none" w:sz="0" w:space="0" w:color="auto"/>
            <w:right w:val="none" w:sz="0" w:space="0" w:color="auto"/>
          </w:divBdr>
        </w:div>
        <w:div w:id="1899050013">
          <w:marLeft w:val="0"/>
          <w:marRight w:val="0"/>
          <w:marTop w:val="0"/>
          <w:marBottom w:val="0"/>
          <w:divBdr>
            <w:top w:val="none" w:sz="0" w:space="0" w:color="auto"/>
            <w:left w:val="none" w:sz="0" w:space="0" w:color="auto"/>
            <w:bottom w:val="none" w:sz="0" w:space="0" w:color="auto"/>
            <w:right w:val="none" w:sz="0" w:space="0" w:color="auto"/>
          </w:divBdr>
        </w:div>
        <w:div w:id="1328243255">
          <w:marLeft w:val="0"/>
          <w:marRight w:val="0"/>
          <w:marTop w:val="0"/>
          <w:marBottom w:val="0"/>
          <w:divBdr>
            <w:top w:val="none" w:sz="0" w:space="0" w:color="auto"/>
            <w:left w:val="none" w:sz="0" w:space="0" w:color="auto"/>
            <w:bottom w:val="none" w:sz="0" w:space="0" w:color="auto"/>
            <w:right w:val="none" w:sz="0" w:space="0" w:color="auto"/>
          </w:divBdr>
        </w:div>
        <w:div w:id="1980456296">
          <w:marLeft w:val="0"/>
          <w:marRight w:val="0"/>
          <w:marTop w:val="0"/>
          <w:marBottom w:val="0"/>
          <w:divBdr>
            <w:top w:val="none" w:sz="0" w:space="0" w:color="auto"/>
            <w:left w:val="none" w:sz="0" w:space="0" w:color="auto"/>
            <w:bottom w:val="none" w:sz="0" w:space="0" w:color="auto"/>
            <w:right w:val="none" w:sz="0" w:space="0" w:color="auto"/>
          </w:divBdr>
        </w:div>
      </w:divsChild>
    </w:div>
    <w:div w:id="116995790">
      <w:bodyDiv w:val="1"/>
      <w:marLeft w:val="0"/>
      <w:marRight w:val="0"/>
      <w:marTop w:val="0"/>
      <w:marBottom w:val="0"/>
      <w:divBdr>
        <w:top w:val="none" w:sz="0" w:space="0" w:color="auto"/>
        <w:left w:val="none" w:sz="0" w:space="0" w:color="auto"/>
        <w:bottom w:val="none" w:sz="0" w:space="0" w:color="auto"/>
        <w:right w:val="none" w:sz="0" w:space="0" w:color="auto"/>
      </w:divBdr>
    </w:div>
    <w:div w:id="238254427">
      <w:bodyDiv w:val="1"/>
      <w:marLeft w:val="0"/>
      <w:marRight w:val="0"/>
      <w:marTop w:val="0"/>
      <w:marBottom w:val="0"/>
      <w:divBdr>
        <w:top w:val="none" w:sz="0" w:space="0" w:color="auto"/>
        <w:left w:val="none" w:sz="0" w:space="0" w:color="auto"/>
        <w:bottom w:val="none" w:sz="0" w:space="0" w:color="auto"/>
        <w:right w:val="none" w:sz="0" w:space="0" w:color="auto"/>
      </w:divBdr>
    </w:div>
    <w:div w:id="387458026">
      <w:bodyDiv w:val="1"/>
      <w:marLeft w:val="0"/>
      <w:marRight w:val="0"/>
      <w:marTop w:val="0"/>
      <w:marBottom w:val="0"/>
      <w:divBdr>
        <w:top w:val="none" w:sz="0" w:space="0" w:color="auto"/>
        <w:left w:val="none" w:sz="0" w:space="0" w:color="auto"/>
        <w:bottom w:val="none" w:sz="0" w:space="0" w:color="auto"/>
        <w:right w:val="none" w:sz="0" w:space="0" w:color="auto"/>
      </w:divBdr>
    </w:div>
    <w:div w:id="501628950">
      <w:bodyDiv w:val="1"/>
      <w:marLeft w:val="0"/>
      <w:marRight w:val="0"/>
      <w:marTop w:val="0"/>
      <w:marBottom w:val="0"/>
      <w:divBdr>
        <w:top w:val="none" w:sz="0" w:space="0" w:color="auto"/>
        <w:left w:val="none" w:sz="0" w:space="0" w:color="auto"/>
        <w:bottom w:val="none" w:sz="0" w:space="0" w:color="auto"/>
        <w:right w:val="none" w:sz="0" w:space="0" w:color="auto"/>
      </w:divBdr>
    </w:div>
    <w:div w:id="554774387">
      <w:bodyDiv w:val="1"/>
      <w:marLeft w:val="0"/>
      <w:marRight w:val="0"/>
      <w:marTop w:val="0"/>
      <w:marBottom w:val="0"/>
      <w:divBdr>
        <w:top w:val="none" w:sz="0" w:space="0" w:color="auto"/>
        <w:left w:val="none" w:sz="0" w:space="0" w:color="auto"/>
        <w:bottom w:val="none" w:sz="0" w:space="0" w:color="auto"/>
        <w:right w:val="none" w:sz="0" w:space="0" w:color="auto"/>
      </w:divBdr>
    </w:div>
    <w:div w:id="619996234">
      <w:bodyDiv w:val="1"/>
      <w:marLeft w:val="0"/>
      <w:marRight w:val="0"/>
      <w:marTop w:val="0"/>
      <w:marBottom w:val="0"/>
      <w:divBdr>
        <w:top w:val="none" w:sz="0" w:space="0" w:color="auto"/>
        <w:left w:val="none" w:sz="0" w:space="0" w:color="auto"/>
        <w:bottom w:val="none" w:sz="0" w:space="0" w:color="auto"/>
        <w:right w:val="none" w:sz="0" w:space="0" w:color="auto"/>
      </w:divBdr>
    </w:div>
    <w:div w:id="679432055">
      <w:bodyDiv w:val="1"/>
      <w:marLeft w:val="0"/>
      <w:marRight w:val="0"/>
      <w:marTop w:val="0"/>
      <w:marBottom w:val="0"/>
      <w:divBdr>
        <w:top w:val="none" w:sz="0" w:space="0" w:color="auto"/>
        <w:left w:val="none" w:sz="0" w:space="0" w:color="auto"/>
        <w:bottom w:val="none" w:sz="0" w:space="0" w:color="auto"/>
        <w:right w:val="none" w:sz="0" w:space="0" w:color="auto"/>
      </w:divBdr>
    </w:div>
    <w:div w:id="737484843">
      <w:bodyDiv w:val="1"/>
      <w:marLeft w:val="0"/>
      <w:marRight w:val="0"/>
      <w:marTop w:val="0"/>
      <w:marBottom w:val="0"/>
      <w:divBdr>
        <w:top w:val="none" w:sz="0" w:space="0" w:color="auto"/>
        <w:left w:val="none" w:sz="0" w:space="0" w:color="auto"/>
        <w:bottom w:val="none" w:sz="0" w:space="0" w:color="auto"/>
        <w:right w:val="none" w:sz="0" w:space="0" w:color="auto"/>
      </w:divBdr>
    </w:div>
    <w:div w:id="918095324">
      <w:bodyDiv w:val="1"/>
      <w:marLeft w:val="0"/>
      <w:marRight w:val="0"/>
      <w:marTop w:val="0"/>
      <w:marBottom w:val="0"/>
      <w:divBdr>
        <w:top w:val="none" w:sz="0" w:space="0" w:color="auto"/>
        <w:left w:val="none" w:sz="0" w:space="0" w:color="auto"/>
        <w:bottom w:val="none" w:sz="0" w:space="0" w:color="auto"/>
        <w:right w:val="none" w:sz="0" w:space="0" w:color="auto"/>
      </w:divBdr>
      <w:divsChild>
        <w:div w:id="1724058078">
          <w:marLeft w:val="0"/>
          <w:marRight w:val="0"/>
          <w:marTop w:val="0"/>
          <w:marBottom w:val="0"/>
          <w:divBdr>
            <w:top w:val="none" w:sz="0" w:space="0" w:color="auto"/>
            <w:left w:val="none" w:sz="0" w:space="0" w:color="auto"/>
            <w:bottom w:val="none" w:sz="0" w:space="0" w:color="auto"/>
            <w:right w:val="none" w:sz="0" w:space="0" w:color="auto"/>
          </w:divBdr>
        </w:div>
        <w:div w:id="122430837">
          <w:marLeft w:val="0"/>
          <w:marRight w:val="0"/>
          <w:marTop w:val="0"/>
          <w:marBottom w:val="0"/>
          <w:divBdr>
            <w:top w:val="none" w:sz="0" w:space="0" w:color="auto"/>
            <w:left w:val="none" w:sz="0" w:space="0" w:color="auto"/>
            <w:bottom w:val="none" w:sz="0" w:space="0" w:color="auto"/>
            <w:right w:val="none" w:sz="0" w:space="0" w:color="auto"/>
          </w:divBdr>
        </w:div>
        <w:div w:id="138304346">
          <w:marLeft w:val="0"/>
          <w:marRight w:val="0"/>
          <w:marTop w:val="0"/>
          <w:marBottom w:val="0"/>
          <w:divBdr>
            <w:top w:val="none" w:sz="0" w:space="0" w:color="auto"/>
            <w:left w:val="none" w:sz="0" w:space="0" w:color="auto"/>
            <w:bottom w:val="none" w:sz="0" w:space="0" w:color="auto"/>
            <w:right w:val="none" w:sz="0" w:space="0" w:color="auto"/>
          </w:divBdr>
        </w:div>
        <w:div w:id="540821998">
          <w:marLeft w:val="0"/>
          <w:marRight w:val="0"/>
          <w:marTop w:val="0"/>
          <w:marBottom w:val="0"/>
          <w:divBdr>
            <w:top w:val="none" w:sz="0" w:space="0" w:color="auto"/>
            <w:left w:val="none" w:sz="0" w:space="0" w:color="auto"/>
            <w:bottom w:val="none" w:sz="0" w:space="0" w:color="auto"/>
            <w:right w:val="none" w:sz="0" w:space="0" w:color="auto"/>
          </w:divBdr>
        </w:div>
        <w:div w:id="1461457943">
          <w:marLeft w:val="0"/>
          <w:marRight w:val="0"/>
          <w:marTop w:val="0"/>
          <w:marBottom w:val="0"/>
          <w:divBdr>
            <w:top w:val="none" w:sz="0" w:space="0" w:color="auto"/>
            <w:left w:val="none" w:sz="0" w:space="0" w:color="auto"/>
            <w:bottom w:val="none" w:sz="0" w:space="0" w:color="auto"/>
            <w:right w:val="none" w:sz="0" w:space="0" w:color="auto"/>
          </w:divBdr>
        </w:div>
      </w:divsChild>
    </w:div>
    <w:div w:id="1035886104">
      <w:bodyDiv w:val="1"/>
      <w:marLeft w:val="0"/>
      <w:marRight w:val="0"/>
      <w:marTop w:val="0"/>
      <w:marBottom w:val="0"/>
      <w:divBdr>
        <w:top w:val="none" w:sz="0" w:space="0" w:color="auto"/>
        <w:left w:val="none" w:sz="0" w:space="0" w:color="auto"/>
        <w:bottom w:val="none" w:sz="0" w:space="0" w:color="auto"/>
        <w:right w:val="none" w:sz="0" w:space="0" w:color="auto"/>
      </w:divBdr>
    </w:div>
    <w:div w:id="1259560088">
      <w:bodyDiv w:val="1"/>
      <w:marLeft w:val="0"/>
      <w:marRight w:val="0"/>
      <w:marTop w:val="0"/>
      <w:marBottom w:val="0"/>
      <w:divBdr>
        <w:top w:val="none" w:sz="0" w:space="0" w:color="auto"/>
        <w:left w:val="none" w:sz="0" w:space="0" w:color="auto"/>
        <w:bottom w:val="none" w:sz="0" w:space="0" w:color="auto"/>
        <w:right w:val="none" w:sz="0" w:space="0" w:color="auto"/>
      </w:divBdr>
    </w:div>
    <w:div w:id="1352493419">
      <w:bodyDiv w:val="1"/>
      <w:marLeft w:val="0"/>
      <w:marRight w:val="0"/>
      <w:marTop w:val="0"/>
      <w:marBottom w:val="0"/>
      <w:divBdr>
        <w:top w:val="none" w:sz="0" w:space="0" w:color="auto"/>
        <w:left w:val="none" w:sz="0" w:space="0" w:color="auto"/>
        <w:bottom w:val="none" w:sz="0" w:space="0" w:color="auto"/>
        <w:right w:val="none" w:sz="0" w:space="0" w:color="auto"/>
      </w:divBdr>
    </w:div>
    <w:div w:id="1355964003">
      <w:bodyDiv w:val="1"/>
      <w:marLeft w:val="0"/>
      <w:marRight w:val="0"/>
      <w:marTop w:val="0"/>
      <w:marBottom w:val="0"/>
      <w:divBdr>
        <w:top w:val="none" w:sz="0" w:space="0" w:color="auto"/>
        <w:left w:val="none" w:sz="0" w:space="0" w:color="auto"/>
        <w:bottom w:val="none" w:sz="0" w:space="0" w:color="auto"/>
        <w:right w:val="none" w:sz="0" w:space="0" w:color="auto"/>
      </w:divBdr>
      <w:divsChild>
        <w:div w:id="1764643790">
          <w:marLeft w:val="0"/>
          <w:marRight w:val="0"/>
          <w:marTop w:val="0"/>
          <w:marBottom w:val="0"/>
          <w:divBdr>
            <w:top w:val="none" w:sz="0" w:space="0" w:color="auto"/>
            <w:left w:val="none" w:sz="0" w:space="0" w:color="auto"/>
            <w:bottom w:val="none" w:sz="0" w:space="0" w:color="auto"/>
            <w:right w:val="none" w:sz="0" w:space="0" w:color="auto"/>
          </w:divBdr>
        </w:div>
        <w:div w:id="927881054">
          <w:marLeft w:val="0"/>
          <w:marRight w:val="0"/>
          <w:marTop w:val="0"/>
          <w:marBottom w:val="0"/>
          <w:divBdr>
            <w:top w:val="none" w:sz="0" w:space="0" w:color="auto"/>
            <w:left w:val="none" w:sz="0" w:space="0" w:color="auto"/>
            <w:bottom w:val="none" w:sz="0" w:space="0" w:color="auto"/>
            <w:right w:val="none" w:sz="0" w:space="0" w:color="auto"/>
          </w:divBdr>
        </w:div>
        <w:div w:id="1269854955">
          <w:marLeft w:val="0"/>
          <w:marRight w:val="0"/>
          <w:marTop w:val="0"/>
          <w:marBottom w:val="0"/>
          <w:divBdr>
            <w:top w:val="none" w:sz="0" w:space="0" w:color="auto"/>
            <w:left w:val="none" w:sz="0" w:space="0" w:color="auto"/>
            <w:bottom w:val="none" w:sz="0" w:space="0" w:color="auto"/>
            <w:right w:val="none" w:sz="0" w:space="0" w:color="auto"/>
          </w:divBdr>
        </w:div>
      </w:divsChild>
    </w:div>
    <w:div w:id="1376659039">
      <w:bodyDiv w:val="1"/>
      <w:marLeft w:val="0"/>
      <w:marRight w:val="0"/>
      <w:marTop w:val="0"/>
      <w:marBottom w:val="0"/>
      <w:divBdr>
        <w:top w:val="none" w:sz="0" w:space="0" w:color="auto"/>
        <w:left w:val="none" w:sz="0" w:space="0" w:color="auto"/>
        <w:bottom w:val="none" w:sz="0" w:space="0" w:color="auto"/>
        <w:right w:val="none" w:sz="0" w:space="0" w:color="auto"/>
      </w:divBdr>
      <w:divsChild>
        <w:div w:id="363752418">
          <w:marLeft w:val="0"/>
          <w:marRight w:val="0"/>
          <w:marTop w:val="0"/>
          <w:marBottom w:val="0"/>
          <w:divBdr>
            <w:top w:val="none" w:sz="0" w:space="0" w:color="auto"/>
            <w:left w:val="none" w:sz="0" w:space="0" w:color="auto"/>
            <w:bottom w:val="none" w:sz="0" w:space="0" w:color="auto"/>
            <w:right w:val="none" w:sz="0" w:space="0" w:color="auto"/>
          </w:divBdr>
        </w:div>
        <w:div w:id="1512602798">
          <w:marLeft w:val="0"/>
          <w:marRight w:val="0"/>
          <w:marTop w:val="0"/>
          <w:marBottom w:val="0"/>
          <w:divBdr>
            <w:top w:val="none" w:sz="0" w:space="0" w:color="auto"/>
            <w:left w:val="none" w:sz="0" w:space="0" w:color="auto"/>
            <w:bottom w:val="none" w:sz="0" w:space="0" w:color="auto"/>
            <w:right w:val="none" w:sz="0" w:space="0" w:color="auto"/>
          </w:divBdr>
        </w:div>
        <w:div w:id="1118139252">
          <w:marLeft w:val="0"/>
          <w:marRight w:val="0"/>
          <w:marTop w:val="0"/>
          <w:marBottom w:val="0"/>
          <w:divBdr>
            <w:top w:val="none" w:sz="0" w:space="0" w:color="auto"/>
            <w:left w:val="none" w:sz="0" w:space="0" w:color="auto"/>
            <w:bottom w:val="none" w:sz="0" w:space="0" w:color="auto"/>
            <w:right w:val="none" w:sz="0" w:space="0" w:color="auto"/>
          </w:divBdr>
        </w:div>
      </w:divsChild>
    </w:div>
    <w:div w:id="1480339971">
      <w:bodyDiv w:val="1"/>
      <w:marLeft w:val="0"/>
      <w:marRight w:val="0"/>
      <w:marTop w:val="0"/>
      <w:marBottom w:val="0"/>
      <w:divBdr>
        <w:top w:val="none" w:sz="0" w:space="0" w:color="auto"/>
        <w:left w:val="none" w:sz="0" w:space="0" w:color="auto"/>
        <w:bottom w:val="none" w:sz="0" w:space="0" w:color="auto"/>
        <w:right w:val="none" w:sz="0" w:space="0" w:color="auto"/>
      </w:divBdr>
    </w:div>
    <w:div w:id="1667518824">
      <w:bodyDiv w:val="1"/>
      <w:marLeft w:val="0"/>
      <w:marRight w:val="0"/>
      <w:marTop w:val="0"/>
      <w:marBottom w:val="0"/>
      <w:divBdr>
        <w:top w:val="none" w:sz="0" w:space="0" w:color="auto"/>
        <w:left w:val="none" w:sz="0" w:space="0" w:color="auto"/>
        <w:bottom w:val="none" w:sz="0" w:space="0" w:color="auto"/>
        <w:right w:val="none" w:sz="0" w:space="0" w:color="auto"/>
      </w:divBdr>
      <w:divsChild>
        <w:div w:id="1594246203">
          <w:marLeft w:val="0"/>
          <w:marRight w:val="0"/>
          <w:marTop w:val="0"/>
          <w:marBottom w:val="0"/>
          <w:divBdr>
            <w:top w:val="none" w:sz="0" w:space="0" w:color="auto"/>
            <w:left w:val="none" w:sz="0" w:space="0" w:color="auto"/>
            <w:bottom w:val="none" w:sz="0" w:space="0" w:color="auto"/>
            <w:right w:val="none" w:sz="0" w:space="0" w:color="auto"/>
          </w:divBdr>
        </w:div>
        <w:div w:id="319313108">
          <w:marLeft w:val="0"/>
          <w:marRight w:val="0"/>
          <w:marTop w:val="300"/>
          <w:marBottom w:val="0"/>
          <w:divBdr>
            <w:top w:val="none" w:sz="0" w:space="0" w:color="auto"/>
            <w:left w:val="none" w:sz="0" w:space="0" w:color="auto"/>
            <w:bottom w:val="none" w:sz="0" w:space="0" w:color="auto"/>
            <w:right w:val="none" w:sz="0" w:space="0" w:color="auto"/>
          </w:divBdr>
          <w:divsChild>
            <w:div w:id="66343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2539170">
      <w:bodyDiv w:val="1"/>
      <w:marLeft w:val="0"/>
      <w:marRight w:val="0"/>
      <w:marTop w:val="0"/>
      <w:marBottom w:val="0"/>
      <w:divBdr>
        <w:top w:val="none" w:sz="0" w:space="0" w:color="auto"/>
        <w:left w:val="none" w:sz="0" w:space="0" w:color="auto"/>
        <w:bottom w:val="none" w:sz="0" w:space="0" w:color="auto"/>
        <w:right w:val="none" w:sz="0" w:space="0" w:color="auto"/>
      </w:divBdr>
    </w:div>
    <w:div w:id="1718966562">
      <w:bodyDiv w:val="1"/>
      <w:marLeft w:val="0"/>
      <w:marRight w:val="0"/>
      <w:marTop w:val="0"/>
      <w:marBottom w:val="0"/>
      <w:divBdr>
        <w:top w:val="none" w:sz="0" w:space="0" w:color="auto"/>
        <w:left w:val="none" w:sz="0" w:space="0" w:color="auto"/>
        <w:bottom w:val="none" w:sz="0" w:space="0" w:color="auto"/>
        <w:right w:val="none" w:sz="0" w:space="0" w:color="auto"/>
      </w:divBdr>
    </w:div>
    <w:div w:id="1760756678">
      <w:bodyDiv w:val="1"/>
      <w:marLeft w:val="0"/>
      <w:marRight w:val="0"/>
      <w:marTop w:val="0"/>
      <w:marBottom w:val="0"/>
      <w:divBdr>
        <w:top w:val="none" w:sz="0" w:space="0" w:color="auto"/>
        <w:left w:val="none" w:sz="0" w:space="0" w:color="auto"/>
        <w:bottom w:val="none" w:sz="0" w:space="0" w:color="auto"/>
        <w:right w:val="none" w:sz="0" w:space="0" w:color="auto"/>
      </w:divBdr>
    </w:div>
    <w:div w:id="1840264437">
      <w:bodyDiv w:val="1"/>
      <w:marLeft w:val="0"/>
      <w:marRight w:val="0"/>
      <w:marTop w:val="0"/>
      <w:marBottom w:val="0"/>
      <w:divBdr>
        <w:top w:val="none" w:sz="0" w:space="0" w:color="auto"/>
        <w:left w:val="none" w:sz="0" w:space="0" w:color="auto"/>
        <w:bottom w:val="none" w:sz="0" w:space="0" w:color="auto"/>
        <w:right w:val="none" w:sz="0" w:space="0" w:color="auto"/>
      </w:divBdr>
    </w:div>
    <w:div w:id="2001036440">
      <w:bodyDiv w:val="1"/>
      <w:marLeft w:val="0"/>
      <w:marRight w:val="0"/>
      <w:marTop w:val="0"/>
      <w:marBottom w:val="0"/>
      <w:divBdr>
        <w:top w:val="none" w:sz="0" w:space="0" w:color="auto"/>
        <w:left w:val="none" w:sz="0" w:space="0" w:color="auto"/>
        <w:bottom w:val="none" w:sz="0" w:space="0" w:color="auto"/>
        <w:right w:val="none" w:sz="0" w:space="0" w:color="auto"/>
      </w:divBdr>
    </w:div>
    <w:div w:id="2099865303">
      <w:bodyDiv w:val="1"/>
      <w:marLeft w:val="0"/>
      <w:marRight w:val="0"/>
      <w:marTop w:val="0"/>
      <w:marBottom w:val="0"/>
      <w:divBdr>
        <w:top w:val="none" w:sz="0" w:space="0" w:color="auto"/>
        <w:left w:val="none" w:sz="0" w:space="0" w:color="auto"/>
        <w:bottom w:val="none" w:sz="0" w:space="0" w:color="auto"/>
        <w:right w:val="none" w:sz="0" w:space="0" w:color="auto"/>
      </w:divBdr>
    </w:div>
    <w:div w:id="211104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m/Inclusive-Bible-First-Egalitarian-Translation/dp/1580512135/ref=asc_df_1580512135/?tag=hyprod-20&amp;linkCode=df0&amp;hvadid=312057361370&amp;hvpos=&amp;hvnetw=g&amp;hvrand=14362479660622876592&amp;hvpone=&amp;hvptwo=&amp;hvqmt=&amp;hvdev=c&amp;hvdvcmdl=&amp;hvlocint=&amp;hvlocphy=9031040&amp;hvtargid=pla-433979499986&amp;psc=1" TargetMode="External"/><Relationship Id="rId2" Type="http://schemas.openxmlformats.org/officeDocument/2006/relationships/hyperlink" Target="https://www.bibel-in-gerechter-sprache.de/" TargetMode="External"/><Relationship Id="rId1" Type="http://schemas.openxmlformats.org/officeDocument/2006/relationships/hyperlink" Target="https://tips.translation.bible/story/divine-gender-pronoun-for-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7687</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Erica Corwin</cp:lastModifiedBy>
  <cp:revision>2</cp:revision>
  <cp:lastPrinted>2022-08-09T06:46:00Z</cp:lastPrinted>
  <dcterms:created xsi:type="dcterms:W3CDTF">2022-09-16T16:11:00Z</dcterms:created>
  <dcterms:modified xsi:type="dcterms:W3CDTF">2022-09-16T16:11:00Z</dcterms:modified>
</cp:coreProperties>
</file>